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5E7D730D" w:rsidR="00E2605E" w:rsidRDefault="002251E0" w:rsidP="000F18D4">
            <w:pPr>
              <w:rPr>
                <w:lang w:eastAsia="en-GB"/>
              </w:rPr>
            </w:pPr>
            <w:r>
              <w:rPr>
                <w:lang w:eastAsia="en-GB"/>
              </w:rPr>
              <w:t>Policy S/JH</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37CBB8B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Policy S/JH: New Jobs and Homes </w:t>
            </w:r>
          </w:p>
          <w:p w14:paraId="1D797CC7" w14:textId="77777777" w:rsidR="00C81F5F" w:rsidRPr="00C81F5F" w:rsidRDefault="00C81F5F" w:rsidP="00C81F5F">
            <w:pPr>
              <w:rPr>
                <w:rFonts w:eastAsia="Times New Roman" w:cstheme="minorHAnsi"/>
                <w:color w:val="000000" w:themeColor="text1"/>
                <w:kern w:val="0"/>
                <w:lang w:eastAsia="en-GB"/>
                <w14:ligatures w14:val="none"/>
              </w:rPr>
            </w:pPr>
          </w:p>
          <w:p w14:paraId="58B49849"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Object</w:t>
            </w:r>
          </w:p>
          <w:p w14:paraId="234318FD" w14:textId="77777777" w:rsidR="00C81F5F" w:rsidRPr="00C81F5F" w:rsidRDefault="00C81F5F" w:rsidP="00C81F5F">
            <w:pPr>
              <w:rPr>
                <w:rFonts w:eastAsia="Times New Roman" w:cstheme="minorHAnsi"/>
                <w:color w:val="000000" w:themeColor="text1"/>
                <w:kern w:val="0"/>
                <w:lang w:eastAsia="en-GB"/>
                <w14:ligatures w14:val="none"/>
              </w:rPr>
            </w:pPr>
          </w:p>
          <w:p w14:paraId="60226E09"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These representations are submitted by Bloor Homes Eastern in its capacity as a site promoter with regards to Land East of Ridgeway and Old Pinewood Way, Papworth Everard (HELAA reference 115354), whereby they are seeking an allocation. The site is located east of Old Pinewood Way and Woodhead Place.</w:t>
            </w:r>
          </w:p>
          <w:p w14:paraId="23E43E17" w14:textId="77777777" w:rsidR="00C81F5F" w:rsidRPr="00C81F5F" w:rsidRDefault="00C81F5F" w:rsidP="00C81F5F">
            <w:pPr>
              <w:rPr>
                <w:rFonts w:eastAsia="Times New Roman" w:cstheme="minorHAnsi"/>
                <w:color w:val="000000" w:themeColor="text1"/>
                <w:kern w:val="0"/>
                <w:lang w:eastAsia="en-GB"/>
                <w14:ligatures w14:val="none"/>
              </w:rPr>
            </w:pPr>
          </w:p>
          <w:p w14:paraId="062EC4A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Policy S/JH of the draft GCLP sets out the targets for jobs and housing during the plan period from 2024 to 2045. The jobs target is 73,300 additional jobs, and the housing target is a minimum of 48,069 dwellings. </w:t>
            </w:r>
          </w:p>
          <w:p w14:paraId="4B3A513E" w14:textId="77777777" w:rsidR="00C81F5F" w:rsidRPr="00C81F5F" w:rsidRDefault="00C81F5F" w:rsidP="00C81F5F">
            <w:pPr>
              <w:rPr>
                <w:rFonts w:eastAsia="Times New Roman" w:cstheme="minorHAnsi"/>
                <w:color w:val="000000" w:themeColor="text1"/>
                <w:kern w:val="0"/>
                <w:lang w:eastAsia="en-GB"/>
                <w14:ligatures w14:val="none"/>
              </w:rPr>
            </w:pPr>
          </w:p>
          <w:p w14:paraId="174BA1E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proposed housing requirement is based on the national standard method for calculating local housing need, which for Greater Cambridge equates to 2,289 dwellings per annum (based upon the identified annual need for 1,085 dwellings in Cambridge and 1,204 dwellings in South Cambridgeshire).</w:t>
            </w:r>
          </w:p>
          <w:p w14:paraId="4B8FB1E0" w14:textId="77777777" w:rsidR="00C81F5F" w:rsidRPr="00C81F5F" w:rsidRDefault="00C81F5F" w:rsidP="00C81F5F">
            <w:pPr>
              <w:rPr>
                <w:rFonts w:eastAsia="Times New Roman" w:cstheme="minorHAnsi"/>
                <w:color w:val="000000" w:themeColor="text1"/>
                <w:kern w:val="0"/>
                <w:lang w:eastAsia="en-GB"/>
                <w14:ligatures w14:val="none"/>
              </w:rPr>
            </w:pPr>
          </w:p>
          <w:p w14:paraId="62A7C1BA"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58BFF73A" w14:textId="77777777" w:rsidR="00C81F5F" w:rsidRPr="00C81F5F" w:rsidRDefault="00C81F5F" w:rsidP="00C81F5F">
            <w:pPr>
              <w:rPr>
                <w:rFonts w:eastAsia="Times New Roman" w:cstheme="minorHAnsi"/>
                <w:color w:val="000000" w:themeColor="text1"/>
                <w:kern w:val="0"/>
                <w:lang w:eastAsia="en-GB"/>
                <w14:ligatures w14:val="none"/>
              </w:rPr>
            </w:pPr>
          </w:p>
          <w:p w14:paraId="577C532C"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In respect of South Cambridgeshire, its required buffer of 5% increases its annual standard method requirement from 1,204 to 1,264 dwellings.</w:t>
            </w:r>
          </w:p>
          <w:p w14:paraId="578F966D" w14:textId="77777777" w:rsidR="00C81F5F" w:rsidRPr="00C81F5F" w:rsidRDefault="00C81F5F" w:rsidP="00C81F5F">
            <w:pPr>
              <w:rPr>
                <w:rFonts w:eastAsia="Times New Roman" w:cstheme="minorHAnsi"/>
                <w:color w:val="000000" w:themeColor="text1"/>
                <w:kern w:val="0"/>
                <w:lang w:eastAsia="en-GB"/>
                <w14:ligatures w14:val="none"/>
              </w:rPr>
            </w:pPr>
          </w:p>
          <w:p w14:paraId="3A8AAC77"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Consequently, rather than the average 2,289 dwellings needed per annum under the standard methodology, together the two authorities will instead need to be able to deliver 2,566 dwellings per annum in order to meet their latest 5-Year Housing Land Supply requirement and demonstrate that their Joint Plan is sound. This equates to a total of 12,830 dwellings (2,566 x 5).</w:t>
            </w:r>
          </w:p>
          <w:p w14:paraId="7507150A" w14:textId="77777777" w:rsidR="00C81F5F" w:rsidRPr="00C81F5F" w:rsidRDefault="00C81F5F" w:rsidP="00C81F5F">
            <w:pPr>
              <w:rPr>
                <w:rFonts w:eastAsia="Times New Roman" w:cstheme="minorHAnsi"/>
                <w:color w:val="000000" w:themeColor="text1"/>
                <w:kern w:val="0"/>
                <w:lang w:eastAsia="en-GB"/>
                <w14:ligatures w14:val="none"/>
              </w:rPr>
            </w:pPr>
          </w:p>
          <w:p w14:paraId="2BBF093C"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This demonstrates the importance of ensuring that the Local Plan contains a ready pipeline of small and medium sized sites that are capable of delivering new housing in the early years of the Plan period, prior to many of Greater Cambridge’s larger strategic sites being capable of delivery due to associated infrastructure provision constraints.</w:t>
            </w:r>
          </w:p>
          <w:p w14:paraId="5AD20C26" w14:textId="77777777" w:rsidR="00C81F5F" w:rsidRPr="00C81F5F" w:rsidRDefault="00C81F5F" w:rsidP="00C81F5F">
            <w:pPr>
              <w:rPr>
                <w:rFonts w:eastAsia="Times New Roman" w:cstheme="minorHAnsi"/>
                <w:color w:val="000000" w:themeColor="text1"/>
                <w:kern w:val="0"/>
                <w:lang w:eastAsia="en-GB"/>
                <w14:ligatures w14:val="none"/>
              </w:rPr>
            </w:pPr>
          </w:p>
          <w:p w14:paraId="47290757"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We believe that the job target is not aligned with the housing target. It is considered that a job target that is higher than the housing target would require potential employees to </w:t>
            </w:r>
            <w:r w:rsidRPr="00C81F5F">
              <w:rPr>
                <w:rFonts w:eastAsia="Times New Roman" w:cstheme="minorHAnsi"/>
                <w:color w:val="000000" w:themeColor="text1"/>
                <w:kern w:val="0"/>
                <w:lang w:eastAsia="en-GB"/>
                <w14:ligatures w14:val="none"/>
              </w:rPr>
              <w:lastRenderedPageBreak/>
              <w:t xml:space="preserve">commute into Greater Cambridge to fill those jobs. This outcome would lead to an increase in in-commuting to Greater Cambridge. It is anticipated that most of the in-commuting would be by car, particularly if public transport options are not available or the delivery of transport infrastructure projects are subject to unconfirmed funding decisions and associated development. </w:t>
            </w:r>
          </w:p>
          <w:p w14:paraId="0C0B5FE9" w14:textId="77777777" w:rsidR="00C81F5F" w:rsidRPr="00C81F5F" w:rsidRDefault="00C81F5F" w:rsidP="00C81F5F">
            <w:pPr>
              <w:rPr>
                <w:rFonts w:eastAsia="Times New Roman" w:cstheme="minorHAnsi"/>
                <w:color w:val="000000" w:themeColor="text1"/>
                <w:kern w:val="0"/>
                <w:lang w:eastAsia="en-GB"/>
                <w14:ligatures w14:val="none"/>
              </w:rPr>
            </w:pPr>
          </w:p>
          <w:p w14:paraId="2B6B362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Bloor strongly objects to the overall housing numbers proposed within the plan and believes that these require an upwards revision. The jobs and housing targets in the draft Plan are not aligned. A higher jobs target relative to housing provision will necessitate increased in-commuting to meet labour demands. Earlier evidence, specifically the 2023 Greater Cambridge Employment and Housing Evidence Update, derived its housing target using a Central Growth Scenario, preferred 2011 Census commuting data, and a 1:1 commuting adjustment to ensure closer alignment between job growth and housing need. However, the 2025 Greater Cambridge Employment and Housing Needs Update did not apply any equivalent adjustment. Nor is any reference to this contained within the 2026 Jobs Topic Paper.</w:t>
            </w:r>
          </w:p>
          <w:p w14:paraId="4B0A2F98" w14:textId="77777777" w:rsidR="00C81F5F" w:rsidRPr="00C81F5F" w:rsidRDefault="00C81F5F" w:rsidP="00C81F5F">
            <w:pPr>
              <w:rPr>
                <w:rFonts w:eastAsia="Times New Roman" w:cstheme="minorHAnsi"/>
                <w:color w:val="000000" w:themeColor="text1"/>
                <w:kern w:val="0"/>
                <w:lang w:eastAsia="en-GB"/>
                <w14:ligatures w14:val="none"/>
              </w:rPr>
            </w:pPr>
          </w:p>
          <w:p w14:paraId="60D0AC7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While the 2025 Strategy Topic Paper acknowledged the importance of commuting patterns in understanding the jobs–housing relationship, it similarly failed to apply a commuting adjustment to the housing requirement. Consequently, despite recognising commuter dynamics, the Topic Paper and the updated evidence base did not translate this into the housing target. The same deficiency applies to the content of the 2026 Development Strategy Topic Paper.</w:t>
            </w:r>
          </w:p>
          <w:p w14:paraId="4076222F" w14:textId="77777777" w:rsidR="00C81F5F" w:rsidRPr="00C81F5F" w:rsidRDefault="00C81F5F" w:rsidP="00C81F5F">
            <w:pPr>
              <w:rPr>
                <w:rFonts w:eastAsia="Times New Roman" w:cstheme="minorHAnsi"/>
                <w:color w:val="000000" w:themeColor="text1"/>
                <w:kern w:val="0"/>
                <w:lang w:eastAsia="en-GB"/>
                <w14:ligatures w14:val="none"/>
              </w:rPr>
            </w:pPr>
          </w:p>
          <w:p w14:paraId="0F0A38B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This omission results in a housing requirement that remains too low to support the proposed jobs growth, exacerbates the risk of increased in-commuting, and undermines the effectiveness and soundness of Policy S/JH.</w:t>
            </w:r>
          </w:p>
          <w:p w14:paraId="162DD36B" w14:textId="77777777" w:rsidR="00C81F5F" w:rsidRPr="00C81F5F" w:rsidRDefault="00C81F5F" w:rsidP="00C81F5F">
            <w:pPr>
              <w:rPr>
                <w:rFonts w:eastAsia="Times New Roman" w:cstheme="minorHAnsi"/>
                <w:color w:val="000000" w:themeColor="text1"/>
                <w:kern w:val="0"/>
                <w:lang w:eastAsia="en-GB"/>
                <w14:ligatures w14:val="none"/>
              </w:rPr>
            </w:pPr>
          </w:p>
          <w:p w14:paraId="77145FAC"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Policy HO1: Assessing the Need for Homes within the Framework expects the standard method in Annex D to be used. The policy also requires local authorities to assess the minimum number of dwellings needed, as well as the size, type and tenure of housing or other accommodation needed for different groups, including for example those with an affordable housing need. </w:t>
            </w:r>
          </w:p>
          <w:p w14:paraId="63A74557" w14:textId="77777777" w:rsidR="00C81F5F" w:rsidRPr="00C81F5F" w:rsidRDefault="00C81F5F" w:rsidP="00C81F5F">
            <w:pPr>
              <w:rPr>
                <w:rFonts w:eastAsia="Times New Roman" w:cstheme="minorHAnsi"/>
                <w:color w:val="000000" w:themeColor="text1"/>
                <w:kern w:val="0"/>
                <w:lang w:eastAsia="en-GB"/>
                <w14:ligatures w14:val="none"/>
              </w:rPr>
            </w:pPr>
          </w:p>
          <w:p w14:paraId="231BFE30"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Policy HO2: Setting Requirement Figures for Homes states in section 3 (b) that the requirement may “be higher than the overall figure identified in the local housing needs assessment where appropriate. This includes situations where a higher housing requirement is necessary to meet the needs of neighbouring areas, or to reflect growth ambitions linked to economic development or infrastructure investment.…”. </w:t>
            </w:r>
          </w:p>
          <w:p w14:paraId="03F33A47" w14:textId="77777777" w:rsidR="00C81F5F" w:rsidRPr="00C81F5F" w:rsidRDefault="00C81F5F" w:rsidP="00C81F5F">
            <w:pPr>
              <w:rPr>
                <w:rFonts w:eastAsia="Times New Roman" w:cstheme="minorHAnsi"/>
                <w:color w:val="000000" w:themeColor="text1"/>
                <w:kern w:val="0"/>
                <w:lang w:eastAsia="en-GB"/>
                <w14:ligatures w14:val="none"/>
              </w:rPr>
            </w:pPr>
          </w:p>
          <w:p w14:paraId="250F6A2B"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Policy HO13: Build Out of Residential and Strategic Sites within the NPPF (August 2026) confirms the Government’s objective to significantly boost the supply of housing.</w:t>
            </w:r>
          </w:p>
          <w:p w14:paraId="5B68CC2F" w14:textId="77777777" w:rsidR="00C81F5F" w:rsidRPr="00C81F5F" w:rsidRDefault="00C81F5F" w:rsidP="00C81F5F">
            <w:pPr>
              <w:rPr>
                <w:rFonts w:eastAsia="Times New Roman" w:cstheme="minorHAnsi"/>
                <w:color w:val="000000" w:themeColor="text1"/>
                <w:kern w:val="0"/>
                <w:lang w:eastAsia="en-GB"/>
                <w14:ligatures w14:val="none"/>
              </w:rPr>
            </w:pPr>
          </w:p>
          <w:p w14:paraId="5E6E1BBC"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Paragraph 008 (ID. 67 - Housing needs of different groups) in the Planning Practice Guidance states in part that “An increase in the total housing requirement included in the plan may need to be considered where it could help deliver the required number of affordable homes”. </w:t>
            </w:r>
          </w:p>
          <w:p w14:paraId="412AF462" w14:textId="77777777" w:rsidR="00C81F5F" w:rsidRPr="00C81F5F" w:rsidRDefault="00C81F5F" w:rsidP="00C81F5F">
            <w:pPr>
              <w:rPr>
                <w:rFonts w:eastAsia="Times New Roman" w:cstheme="minorHAnsi"/>
                <w:color w:val="000000" w:themeColor="text1"/>
                <w:kern w:val="0"/>
                <w:lang w:eastAsia="en-GB"/>
                <w14:ligatures w14:val="none"/>
              </w:rPr>
            </w:pPr>
          </w:p>
          <w:p w14:paraId="27EE1B76"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housing target in Policy S/JH is based on the standard method only, with no adjustments for growth linked to economic development and infrastructure investment or to meet affordable housing needs, all of which are relevant to Greater Cambridge.</w:t>
            </w:r>
          </w:p>
          <w:p w14:paraId="74A038C2" w14:textId="77777777" w:rsidR="00C81F5F" w:rsidRPr="00C81F5F" w:rsidRDefault="00C81F5F" w:rsidP="00C81F5F">
            <w:pPr>
              <w:rPr>
                <w:rFonts w:eastAsia="Times New Roman" w:cstheme="minorHAnsi"/>
                <w:color w:val="000000" w:themeColor="text1"/>
                <w:kern w:val="0"/>
                <w:lang w:eastAsia="en-GB"/>
                <w14:ligatures w14:val="none"/>
              </w:rPr>
            </w:pPr>
          </w:p>
          <w:p w14:paraId="41AE61D6"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lastRenderedPageBreak/>
              <w:t>For jobs, the Greater Cambridge Employment and Housing Evidence Update 2025 (EHNU 2025) draws on the latest available data to identify the “central” most likely future jobs forecast taking account of what is unique about the Greater Cambridge economy, including life science and ICT sectors – priority sectors identified in the Cambridgeshire and Peterborough Local Growth Plan. The Draft Plan specifies that this position was reconfirmed by the Review of economic data, context and representations 2026. The central forecast assumes strong growth of around 3,500 additional jobs per annum or more through to 2045 – continuing the recent period of rapid growth seen in Greater Cambridge’s Knowledge Intensive sectors, but also building in an assumption that there will be slower or contracting periods and unforeseen shocks, which are likely in most economies. We consider that we should plan for this forecast of the most likely level of new jobs.</w:t>
            </w:r>
          </w:p>
          <w:p w14:paraId="59EC3638" w14:textId="77777777" w:rsidR="00C81F5F" w:rsidRPr="00C81F5F" w:rsidRDefault="00C81F5F" w:rsidP="00C81F5F">
            <w:pPr>
              <w:rPr>
                <w:rFonts w:eastAsia="Times New Roman" w:cstheme="minorHAnsi"/>
                <w:color w:val="000000" w:themeColor="text1"/>
                <w:kern w:val="0"/>
                <w:lang w:eastAsia="en-GB"/>
                <w14:ligatures w14:val="none"/>
              </w:rPr>
            </w:pPr>
          </w:p>
          <w:p w14:paraId="55E8D64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As a result of the Government’s establishment of the Cambridge Growth Company, and significant infrastructure investment (including East West Rail, Cambridge South Station and the Greenways network), we believe that the Greater Cambridge Authorities are taking an overly pessimistic approach to the anticipated level of job creation, and that an economic uplift should be applied to the housing target.</w:t>
            </w:r>
          </w:p>
          <w:p w14:paraId="6070B2F6" w14:textId="77777777" w:rsidR="00C81F5F" w:rsidRPr="00C81F5F" w:rsidRDefault="00C81F5F" w:rsidP="00C81F5F">
            <w:pPr>
              <w:rPr>
                <w:rFonts w:eastAsia="Times New Roman" w:cstheme="minorHAnsi"/>
                <w:color w:val="000000" w:themeColor="text1"/>
                <w:kern w:val="0"/>
                <w:lang w:eastAsia="en-GB"/>
                <w14:ligatures w14:val="none"/>
              </w:rPr>
            </w:pPr>
          </w:p>
          <w:p w14:paraId="5E8E736A"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accompanying Jobs Topic Paper references the Get Cambridgeshire and Peterborough Growing, the Cambridgeshire and Peterborough Combined Authority Local Growth Plan, approved in October 2025, identifies Greater Cambridge as Global City Cambridge Opportunity Zone.</w:t>
            </w:r>
          </w:p>
          <w:p w14:paraId="19EE8081" w14:textId="77777777" w:rsidR="00C81F5F" w:rsidRPr="00C81F5F" w:rsidRDefault="00C81F5F" w:rsidP="00C81F5F">
            <w:pPr>
              <w:rPr>
                <w:rFonts w:eastAsia="Times New Roman" w:cstheme="minorHAnsi"/>
                <w:color w:val="000000" w:themeColor="text1"/>
                <w:kern w:val="0"/>
                <w:lang w:eastAsia="en-GB"/>
                <w14:ligatures w14:val="none"/>
              </w:rPr>
            </w:pPr>
          </w:p>
          <w:p w14:paraId="6DC483EA"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“This Opportunity Zone is focused on turbocharging an already globally recognised industry. It will continue to concentrate priority sectors in Cambridge while unblocking key infrastructure gaps with a focus on our shared priorities with Government. Comprised of nine key projects, and interventions focused on making Cambridge as globally competitive as possible, this Opportunity Zone is of the utmost strategic importance, not only for the area, but for the nation.”</w:t>
            </w:r>
          </w:p>
          <w:p w14:paraId="2705AAE9" w14:textId="77777777" w:rsidR="00C81F5F" w:rsidRPr="00C81F5F" w:rsidRDefault="00C81F5F" w:rsidP="00C81F5F">
            <w:pPr>
              <w:rPr>
                <w:rFonts w:eastAsia="Times New Roman" w:cstheme="minorHAnsi"/>
                <w:color w:val="000000" w:themeColor="text1"/>
                <w:kern w:val="0"/>
                <w:lang w:eastAsia="en-GB"/>
                <w14:ligatures w14:val="none"/>
              </w:rPr>
            </w:pPr>
          </w:p>
          <w:p w14:paraId="1F7A6CB6"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The sector focus in the area will be Life Sciences, Advanced Manufacturing &amp; Materials; Digital Technologies; Defence; Agri-Food &amp; Tech and Energy &amp; Clean-Tech. The key projects within Greater Cambridge area are A10 improvements, Cambourne, Cambridge East, North East Cambridge and Mass Rapid Transit. The interventions are securing global industries into Cambridge; establishing an Ox-Cam Institute for innovation led growth and exploring venture capital. </w:t>
            </w:r>
          </w:p>
          <w:p w14:paraId="36A94135" w14:textId="77777777" w:rsidR="00C81F5F" w:rsidRPr="00C81F5F" w:rsidRDefault="00C81F5F" w:rsidP="00C81F5F">
            <w:pPr>
              <w:rPr>
                <w:rFonts w:eastAsia="Times New Roman" w:cstheme="minorHAnsi"/>
                <w:color w:val="000000" w:themeColor="text1"/>
                <w:kern w:val="0"/>
                <w:lang w:eastAsia="en-GB"/>
                <w14:ligatures w14:val="none"/>
              </w:rPr>
            </w:pPr>
          </w:p>
          <w:p w14:paraId="163765D9"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Growth Plan states that with National Reach and Global Impact very large numbers of new jobs are anticipated to be delivered at the following two locations within Greater Cambridge:</w:t>
            </w:r>
          </w:p>
          <w:p w14:paraId="664AF645" w14:textId="77777777" w:rsidR="00C81F5F" w:rsidRPr="00C81F5F" w:rsidRDefault="00C81F5F" w:rsidP="00C81F5F">
            <w:pPr>
              <w:rPr>
                <w:rFonts w:eastAsia="Times New Roman" w:cstheme="minorHAnsi"/>
                <w:color w:val="000000" w:themeColor="text1"/>
                <w:kern w:val="0"/>
                <w:lang w:eastAsia="en-GB"/>
                <w14:ligatures w14:val="none"/>
              </w:rPr>
            </w:pPr>
          </w:p>
          <w:p w14:paraId="64D696FF"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There is scope for significant expansion of the Cambridge Biomedical Campus. The 2024 Spatial Framework for the site sets out how this can become 1,600,000sqm by 2050, driving job creation by attracting and growing new life science business, capturing internationally mobile investment, including multinational R&amp;D headquarters and building the world’s most research activated healthcare infrastructure. The projected Growth in jobs is an additional 23,000 jobs by 2050.</w:t>
            </w:r>
          </w:p>
          <w:p w14:paraId="176B9DFD" w14:textId="77777777" w:rsidR="00C81F5F" w:rsidRPr="00C81F5F" w:rsidRDefault="00C81F5F" w:rsidP="00C81F5F">
            <w:pPr>
              <w:rPr>
                <w:rFonts w:eastAsia="Times New Roman" w:cstheme="minorHAnsi"/>
                <w:color w:val="000000" w:themeColor="text1"/>
                <w:kern w:val="0"/>
                <w:lang w:eastAsia="en-GB"/>
                <w14:ligatures w14:val="none"/>
              </w:rPr>
            </w:pPr>
          </w:p>
          <w:p w14:paraId="1698B539"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Cambridge Business Park: The Crown Estate have unveiled bold proposals to regenerate Cambridge Business Park and create a new innovation ecosystem in Northeast Cambridge. The £1.5bn project will create over 8,000 jobs</w:t>
            </w:r>
          </w:p>
          <w:p w14:paraId="7B6D1C07" w14:textId="77777777" w:rsidR="00C81F5F" w:rsidRPr="00C81F5F" w:rsidRDefault="00C81F5F" w:rsidP="00C81F5F">
            <w:pPr>
              <w:rPr>
                <w:rFonts w:eastAsia="Times New Roman" w:cstheme="minorHAnsi"/>
                <w:color w:val="000000" w:themeColor="text1"/>
                <w:kern w:val="0"/>
                <w:lang w:eastAsia="en-GB"/>
                <w14:ligatures w14:val="none"/>
              </w:rPr>
            </w:pPr>
          </w:p>
          <w:p w14:paraId="23D92DF5"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These are just two examples that demonstrate the mismatch between the numbers of job needed and the number of homes that will actually be provided within Greater Cambridge over the course of the plan period.</w:t>
            </w:r>
          </w:p>
          <w:p w14:paraId="5DC4DBC1"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 </w:t>
            </w:r>
          </w:p>
          <w:p w14:paraId="642F6D74"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The Greater Cambridge City Deal recognised the strong relationship between housing supply and economic performance, noting that constrained housing availability and affordability have influenced house prices, commuting patterns, and employers’ ability to attract and retain staff. The Cambridgeshire and Peterborough Devolution Deal similarly committed to substantial economic growth, including a target to double economic output over 25 years. </w:t>
            </w:r>
          </w:p>
          <w:p w14:paraId="0A86DC07" w14:textId="77777777" w:rsidR="00C81F5F" w:rsidRPr="00C81F5F" w:rsidRDefault="00C81F5F" w:rsidP="00C81F5F">
            <w:pPr>
              <w:rPr>
                <w:rFonts w:eastAsia="Times New Roman" w:cstheme="minorHAnsi"/>
                <w:color w:val="000000" w:themeColor="text1"/>
                <w:kern w:val="0"/>
                <w:lang w:eastAsia="en-GB"/>
                <w14:ligatures w14:val="none"/>
              </w:rPr>
            </w:pPr>
          </w:p>
          <w:p w14:paraId="72B3A6B2"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In 2024, Government established the Cambridge Growth Company to help maximise Cambridge’s economic potential and deliver nationally significant growth. The Greater Cambridge Development Corporation was established by the government on 23 July 2026. It is a statutory delivery body set up as a new local-national partnership, to unlock the long-term sustainable economic future of Greater Cambridge.</w:t>
            </w:r>
          </w:p>
          <w:p w14:paraId="710EF6AB" w14:textId="77777777" w:rsidR="00C81F5F" w:rsidRPr="00C81F5F" w:rsidRDefault="00C81F5F" w:rsidP="00C81F5F">
            <w:pPr>
              <w:rPr>
                <w:rFonts w:eastAsia="Times New Roman" w:cstheme="minorHAnsi"/>
                <w:color w:val="000000" w:themeColor="text1"/>
                <w:kern w:val="0"/>
                <w:lang w:eastAsia="en-GB"/>
                <w14:ligatures w14:val="none"/>
              </w:rPr>
            </w:pPr>
          </w:p>
          <w:p w14:paraId="6619EFA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Building on the foundations laid by the Cambridge Growth Company, the Development Corporation marks the next phase of the government's commitment to achieving nationally significant economic growth through infrastructure-led development.</w:t>
            </w:r>
          </w:p>
          <w:p w14:paraId="0C0B2140" w14:textId="77777777" w:rsidR="00C81F5F" w:rsidRPr="00C81F5F" w:rsidRDefault="00C81F5F" w:rsidP="00C81F5F">
            <w:pPr>
              <w:rPr>
                <w:rFonts w:eastAsia="Times New Roman" w:cstheme="minorHAnsi"/>
                <w:color w:val="000000" w:themeColor="text1"/>
                <w:kern w:val="0"/>
                <w:lang w:eastAsia="en-GB"/>
                <w14:ligatures w14:val="none"/>
              </w:rPr>
            </w:pPr>
          </w:p>
          <w:p w14:paraId="22075058"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 xml:space="preserve">In addition, there are also several planned and proposed infrastructure projects that should inform how the housing target should be adjusted. These include East West Rail, the Cambourne to Cambridge Busway, the Cambridge South East Transport project, the Waterbeach to Cambridge Busway, Cambridge Eastern Access, and Cambridge South Station. In addition, the Greater Cambridge Partnership is progressing a network of greenways to improve active travel connections between surrounding villages and Cambridge. There is also a need to take on board the development pressures generated by recently provided major infrastructure, in particular, the recent opening of the Cambridge South Railway Station. </w:t>
            </w:r>
          </w:p>
          <w:p w14:paraId="0DA20D60" w14:textId="77777777" w:rsidR="00C81F5F" w:rsidRPr="00C81F5F" w:rsidRDefault="00C81F5F" w:rsidP="00C81F5F">
            <w:pPr>
              <w:rPr>
                <w:rFonts w:eastAsia="Times New Roman" w:cstheme="minorHAnsi"/>
                <w:color w:val="000000" w:themeColor="text1"/>
                <w:kern w:val="0"/>
                <w:lang w:eastAsia="en-GB"/>
                <w14:ligatures w14:val="none"/>
              </w:rPr>
            </w:pPr>
          </w:p>
          <w:p w14:paraId="1CE7C157"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At the more local level, we note that the Greater Cambridge Employment and Housing Evidence Update Employment Land, Economic Development and Relationship with Housing (2023) produced by Iceni Projects Limited identified in paragraph 5.20 that “completions for warehousing are also positive for net and gross, particularly in South Cambridgeshire at Papworth Everard (Stirling Way)”. This demonstrated the strength of the local employment market.</w:t>
            </w:r>
          </w:p>
          <w:p w14:paraId="01F0F98E" w14:textId="77777777" w:rsidR="00C81F5F" w:rsidRPr="00C81F5F" w:rsidRDefault="00C81F5F" w:rsidP="00C81F5F">
            <w:pPr>
              <w:rPr>
                <w:rFonts w:eastAsia="Times New Roman" w:cstheme="minorHAnsi"/>
                <w:color w:val="000000" w:themeColor="text1"/>
                <w:kern w:val="0"/>
                <w:lang w:eastAsia="en-GB"/>
                <w14:ligatures w14:val="none"/>
              </w:rPr>
            </w:pPr>
          </w:p>
          <w:p w14:paraId="14A272F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Finally, the Iceni Housing Needs of Specific Groups in Cambridge and South Cambridgeshire Report (August 2025) provides an assessment of the housing requirements of various groups, including the need for affordable housing. Chapter 7 focuses specifically on affordable housing need and identifies a significant shortfall across Greater Cambridge.</w:t>
            </w:r>
          </w:p>
          <w:p w14:paraId="37220272" w14:textId="77777777" w:rsidR="00C81F5F" w:rsidRPr="00C81F5F" w:rsidRDefault="00C81F5F" w:rsidP="00C81F5F">
            <w:pPr>
              <w:rPr>
                <w:rFonts w:eastAsia="Times New Roman" w:cstheme="minorHAnsi"/>
                <w:color w:val="000000" w:themeColor="text1"/>
                <w:kern w:val="0"/>
                <w:lang w:eastAsia="en-GB"/>
                <w14:ligatures w14:val="none"/>
              </w:rPr>
            </w:pPr>
          </w:p>
          <w:p w14:paraId="2EC4922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Report estimates that 1,083 affordable homes are needed each year for households unable to buy or rent on the open market across Greater Cambridge, excluding those who can afford to rent but not buy (Paragraph 7.62). It also presents an alternative scenario that removes households who are already housed from the calculation. Under this approach, the annual requirement would be 425 affordable homes in Cambridge and 318 in South Cambridgeshire (Paragraph 7.63), giving a combined figure of 743 affordable homes per year.</w:t>
            </w:r>
          </w:p>
          <w:p w14:paraId="46289C1E" w14:textId="77777777" w:rsidR="00C81F5F" w:rsidRPr="00C81F5F" w:rsidRDefault="00C81F5F" w:rsidP="00C81F5F">
            <w:pPr>
              <w:rPr>
                <w:rFonts w:eastAsia="Times New Roman" w:cstheme="minorHAnsi"/>
                <w:color w:val="000000" w:themeColor="text1"/>
                <w:kern w:val="0"/>
                <w:lang w:eastAsia="en-GB"/>
                <w14:ligatures w14:val="none"/>
              </w:rPr>
            </w:pPr>
          </w:p>
          <w:p w14:paraId="1EFA0796"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Report acknowledges the complexity of assessing affordable housing needs, including the fact that needs change over time, and therefore advises that these annual figures should not be multiplied to produce a total for the entire plan period. Nevertheless, the Report concludes that no adjustment to the draft GCLP housing target is required to address affordable housing need. This conclusion is not justified in our opinion, particularly given that affordable housing delivery within Greater Cambridge is likely to be adversely impacted by the likely lower percentage of affordable housing provision likely to be achievable at many of its major allocation sites due to the high cost of necessary infrastructure provision needed, which will adversely affect viability.</w:t>
            </w:r>
          </w:p>
          <w:p w14:paraId="7901D36A" w14:textId="77777777" w:rsidR="00C81F5F" w:rsidRPr="00C81F5F" w:rsidRDefault="00C81F5F" w:rsidP="00C81F5F">
            <w:pPr>
              <w:rPr>
                <w:rFonts w:eastAsia="Times New Roman" w:cstheme="minorHAnsi"/>
                <w:color w:val="000000" w:themeColor="text1"/>
                <w:kern w:val="0"/>
                <w:lang w:eastAsia="en-GB"/>
                <w14:ligatures w14:val="none"/>
              </w:rPr>
            </w:pPr>
          </w:p>
          <w:p w14:paraId="5618861D"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Annual monitoring data shows that affordable housing delivery in Greater Cambridge fluctuates but averages around 500 affordable homes per year—below both of the identified needs (743 and 1,083 homes respectively). Furthermore, several existing strategic sites have been unable to deliver policy-compliant levels of affordable housing due to the substantial infrastructure costs they must accommodate. This includes Northstowe and Waterbeach new settlements. It is likely that the same viability challenges will arise at the proposed strategic sites at North Cambourne and Grange Farm.</w:t>
            </w:r>
          </w:p>
          <w:p w14:paraId="05DDE313"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If Greater Cambridge is to meet its affordable housing needs, the draft GCLP must include a higher overall housing requirement and identify additional allocations to compensate for the affordable housing shortfall from both existing and proposed strategic sites. It is therefore considered that the housing requirement in Policy S/JH should be increased to include an upward adjustment specifically to address affordable housing needs and additional allocation on the edge of Papworth Everard be provided.</w:t>
            </w:r>
          </w:p>
          <w:p w14:paraId="2C5D0FE5" w14:textId="77777777" w:rsidR="00C81F5F" w:rsidRPr="00C81F5F" w:rsidRDefault="00C81F5F" w:rsidP="00C81F5F">
            <w:pPr>
              <w:rPr>
                <w:rFonts w:eastAsia="Times New Roman" w:cstheme="minorHAnsi"/>
                <w:color w:val="000000" w:themeColor="text1"/>
                <w:kern w:val="0"/>
                <w:lang w:eastAsia="en-GB"/>
                <w14:ligatures w14:val="none"/>
              </w:rPr>
            </w:pPr>
          </w:p>
          <w:p w14:paraId="09377C51"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The 2025 Strategy Topic Paper highlights the importance of flexibility and reducing reliance on large strategic sites. Deliverable, sustainable village-edge sites such as Land to the east of Ridgeway and Old Pinewood Way, Papworth Everard can support early housing delivery and help meet the revised requirement.</w:t>
            </w:r>
          </w:p>
          <w:p w14:paraId="30A8E4C7" w14:textId="77777777" w:rsidR="00C81F5F" w:rsidRPr="00C81F5F" w:rsidRDefault="00C81F5F" w:rsidP="00C81F5F">
            <w:pPr>
              <w:rPr>
                <w:rFonts w:eastAsia="Times New Roman" w:cstheme="minorHAnsi"/>
                <w:color w:val="000000" w:themeColor="text1"/>
                <w:kern w:val="0"/>
                <w:lang w:eastAsia="en-GB"/>
                <w14:ligatures w14:val="none"/>
              </w:rPr>
            </w:pPr>
          </w:p>
          <w:p w14:paraId="5A5D665B" w14:textId="77777777" w:rsidR="00C81F5F" w:rsidRPr="00C81F5F" w:rsidRDefault="00C81F5F" w:rsidP="00C81F5F">
            <w:pPr>
              <w:rPr>
                <w:rFonts w:eastAsia="Times New Roman" w:cstheme="minorHAnsi"/>
                <w:color w:val="000000" w:themeColor="text1"/>
                <w:kern w:val="0"/>
                <w:lang w:eastAsia="en-GB"/>
                <w14:ligatures w14:val="none"/>
              </w:rPr>
            </w:pPr>
            <w:r w:rsidRPr="00C81F5F">
              <w:rPr>
                <w:rFonts w:eastAsia="Times New Roman" w:cstheme="minorHAnsi"/>
                <w:color w:val="000000" w:themeColor="text1"/>
                <w:kern w:val="0"/>
                <w:lang w:eastAsia="en-GB"/>
                <w14:ligatures w14:val="none"/>
              </w:rPr>
              <w:t>Given all of the above, Bloor strongly believes that the housing target in Policy S/JH should be reassessed, with an upward adjustment applied to ensure that the Local Plan is sound and meets its duty to support economic growth ambitions, planned infrastructure investment and affordable housing provision within villages.</w:t>
            </w:r>
          </w:p>
          <w:p w14:paraId="419081D7" w14:textId="301C2450" w:rsidR="00C95288" w:rsidRDefault="00E25A2F" w:rsidP="00E25A2F">
            <w:pPr>
              <w:rPr>
                <w:rFonts w:eastAsia="Times New Roman" w:cstheme="minorHAnsi"/>
                <w:color w:val="000000" w:themeColor="text1"/>
                <w:kern w:val="0"/>
                <w:lang w:eastAsia="en-GB"/>
                <w14:ligatures w14:val="none"/>
              </w:rPr>
            </w:pPr>
            <w:r w:rsidRPr="00E25A2F">
              <w:rPr>
                <w:rFonts w:eastAsia="Times New Roman" w:cstheme="minorHAnsi"/>
                <w:color w:val="000000" w:themeColor="text1"/>
                <w:kern w:val="0"/>
                <w:lang w:eastAsia="en-GB"/>
                <w14:ligatures w14:val="none"/>
              </w:rPr>
              <w:t xml:space="preserve">.  </w:t>
            </w:r>
          </w:p>
          <w:p w14:paraId="14F65E02" w14:textId="77777777" w:rsidR="00C95288" w:rsidRDefault="00C95288" w:rsidP="0051199E">
            <w:pPr>
              <w:rPr>
                <w:rFonts w:eastAsia="Times New Roman" w:cstheme="minorHAnsi"/>
                <w:color w:val="000000" w:themeColor="text1"/>
                <w:kern w:val="0"/>
                <w:lang w:eastAsia="en-GB"/>
                <w14:ligatures w14:val="none"/>
              </w:rPr>
            </w:pPr>
          </w:p>
          <w:p w14:paraId="5BB6DB9E" w14:textId="77777777" w:rsidR="00C95288" w:rsidRDefault="00C95288" w:rsidP="0051199E">
            <w:pPr>
              <w:rPr>
                <w:rFonts w:eastAsia="Times New Roman" w:cstheme="minorHAnsi"/>
                <w:color w:val="000000" w:themeColor="text1"/>
                <w:kern w:val="0"/>
                <w:lang w:eastAsia="en-GB"/>
                <w14:ligatures w14:val="none"/>
              </w:rPr>
            </w:pPr>
          </w:p>
          <w:p w14:paraId="4A9D5438" w14:textId="77777777" w:rsidR="00C95288" w:rsidRDefault="00C95288" w:rsidP="0051199E">
            <w:pPr>
              <w:rPr>
                <w:rFonts w:eastAsia="Times New Roman" w:cstheme="minorHAnsi"/>
                <w:color w:val="000000" w:themeColor="text1"/>
                <w:kern w:val="0"/>
                <w:lang w:eastAsia="en-GB"/>
                <w14:ligatures w14:val="none"/>
              </w:rPr>
            </w:pPr>
          </w:p>
          <w:p w14:paraId="03536230" w14:textId="77777777" w:rsidR="00C95288" w:rsidRDefault="00C95288" w:rsidP="0051199E">
            <w:pPr>
              <w:rPr>
                <w:rFonts w:eastAsia="Times New Roman" w:cstheme="minorHAnsi"/>
                <w:color w:val="000000" w:themeColor="text1"/>
                <w:kern w:val="0"/>
                <w:lang w:eastAsia="en-GB"/>
                <w14:ligatures w14:val="none"/>
              </w:rPr>
            </w:pPr>
          </w:p>
          <w:p w14:paraId="2E8C8EC3" w14:textId="77777777" w:rsidR="00C95288" w:rsidRDefault="00C95288" w:rsidP="0051199E">
            <w:pPr>
              <w:rPr>
                <w:rFonts w:eastAsia="Times New Roman" w:cstheme="minorHAnsi"/>
                <w:color w:val="000000" w:themeColor="text1"/>
                <w:kern w:val="0"/>
                <w:lang w:eastAsia="en-GB"/>
                <w14:ligatures w14:val="none"/>
              </w:rPr>
            </w:pPr>
          </w:p>
          <w:p w14:paraId="793644EF" w14:textId="77777777" w:rsidR="00C95288" w:rsidRDefault="00C95288" w:rsidP="0051199E">
            <w:pPr>
              <w:rPr>
                <w:rFonts w:eastAsia="Times New Roman" w:cstheme="minorHAnsi"/>
                <w:color w:val="000000" w:themeColor="text1"/>
                <w:kern w:val="0"/>
                <w:lang w:eastAsia="en-GB"/>
                <w14:ligatures w14:val="none"/>
              </w:rPr>
            </w:pPr>
          </w:p>
          <w:p w14:paraId="3271315C" w14:textId="77777777" w:rsidR="00C95288" w:rsidRDefault="00C95288" w:rsidP="0051199E">
            <w:pPr>
              <w:rPr>
                <w:rFonts w:eastAsia="Times New Roman" w:cstheme="minorHAnsi"/>
                <w:color w:val="000000" w:themeColor="text1"/>
                <w:kern w:val="0"/>
                <w:lang w:eastAsia="en-GB"/>
                <w14:ligatures w14:val="none"/>
              </w:rPr>
            </w:pPr>
          </w:p>
          <w:p w14:paraId="225EB363" w14:textId="77777777" w:rsidR="00C95288" w:rsidRDefault="00C95288" w:rsidP="0051199E">
            <w:pPr>
              <w:rPr>
                <w:rFonts w:eastAsia="Times New Roman" w:cstheme="minorHAnsi"/>
                <w:color w:val="000000" w:themeColor="text1"/>
                <w:kern w:val="0"/>
                <w:lang w:eastAsia="en-GB"/>
                <w14:ligatures w14:val="none"/>
              </w:rPr>
            </w:pPr>
          </w:p>
          <w:p w14:paraId="7E99E959" w14:textId="77777777" w:rsidR="00C95288" w:rsidRDefault="00C95288" w:rsidP="0051199E">
            <w:pPr>
              <w:rPr>
                <w:rFonts w:eastAsia="Times New Roman" w:cstheme="minorHAnsi"/>
                <w:color w:val="000000" w:themeColor="text1"/>
                <w:kern w:val="0"/>
                <w:lang w:eastAsia="en-GB"/>
                <w14:ligatures w14:val="none"/>
              </w:rPr>
            </w:pPr>
          </w:p>
          <w:p w14:paraId="3A8D3184" w14:textId="77777777" w:rsidR="00C95288" w:rsidRDefault="00C95288" w:rsidP="0051199E">
            <w:pPr>
              <w:rPr>
                <w:rFonts w:eastAsia="Times New Roman" w:cstheme="minorHAnsi"/>
                <w:color w:val="000000" w:themeColor="text1"/>
                <w:kern w:val="0"/>
                <w:lang w:eastAsia="en-GB"/>
                <w14:ligatures w14:val="none"/>
              </w:rPr>
            </w:pPr>
          </w:p>
          <w:p w14:paraId="119B42F1" w14:textId="77777777" w:rsidR="00C95288" w:rsidRDefault="00C95288" w:rsidP="0051199E">
            <w:pPr>
              <w:rPr>
                <w:rFonts w:eastAsia="Times New Roman" w:cstheme="minorHAnsi"/>
                <w:color w:val="000000" w:themeColor="text1"/>
                <w:kern w:val="0"/>
                <w:lang w:eastAsia="en-GB"/>
                <w14:ligatures w14:val="none"/>
              </w:rPr>
            </w:pPr>
          </w:p>
          <w:p w14:paraId="6ABE653B" w14:textId="77777777" w:rsidR="00C95288" w:rsidRDefault="00C95288" w:rsidP="0051199E">
            <w:pPr>
              <w:rPr>
                <w:rFonts w:eastAsia="Times New Roman" w:cstheme="minorHAnsi"/>
                <w:color w:val="000000" w:themeColor="text1"/>
                <w:kern w:val="0"/>
                <w:lang w:eastAsia="en-GB"/>
                <w14:ligatures w14:val="none"/>
              </w:rPr>
            </w:pPr>
          </w:p>
          <w:p w14:paraId="69073E2A" w14:textId="77777777" w:rsidR="00C95288" w:rsidRDefault="00C95288" w:rsidP="0051199E">
            <w:pPr>
              <w:rPr>
                <w:rFonts w:eastAsia="Times New Roman" w:cstheme="minorHAnsi"/>
                <w:color w:val="000000" w:themeColor="text1"/>
                <w:kern w:val="0"/>
                <w:lang w:eastAsia="en-GB"/>
                <w14:ligatures w14:val="none"/>
              </w:rPr>
            </w:pPr>
          </w:p>
          <w:p w14:paraId="17BFC5FA" w14:textId="77777777" w:rsidR="00C95288" w:rsidRDefault="00C95288" w:rsidP="0051199E">
            <w:pPr>
              <w:rPr>
                <w:rFonts w:eastAsia="Times New Roman" w:cstheme="minorHAnsi"/>
                <w:color w:val="000000" w:themeColor="text1"/>
                <w:kern w:val="0"/>
                <w:lang w:eastAsia="en-GB"/>
                <w14:ligatures w14:val="none"/>
              </w:rPr>
            </w:pPr>
          </w:p>
          <w:p w14:paraId="29981C64" w14:textId="77777777" w:rsidR="00483DA4" w:rsidRDefault="00483DA4" w:rsidP="0051199E">
            <w:pPr>
              <w:rPr>
                <w:rFonts w:eastAsia="Times New Roman" w:cstheme="minorHAnsi"/>
                <w:color w:val="000000" w:themeColor="text1"/>
                <w:kern w:val="0"/>
                <w:lang w:eastAsia="en-GB"/>
                <w14:ligatures w14:val="none"/>
              </w:rPr>
            </w:pPr>
          </w:p>
          <w:p w14:paraId="6BD22289" w14:textId="77777777" w:rsidR="00483DA4" w:rsidRDefault="00483DA4" w:rsidP="0051199E">
            <w:pPr>
              <w:rPr>
                <w:rFonts w:eastAsia="Times New Roman" w:cstheme="minorHAnsi"/>
                <w:color w:val="000000" w:themeColor="text1"/>
                <w:kern w:val="0"/>
                <w:lang w:eastAsia="en-GB"/>
                <w14:ligatures w14:val="none"/>
              </w:rPr>
            </w:pPr>
          </w:p>
          <w:p w14:paraId="1913A41F" w14:textId="77777777" w:rsidR="00483DA4" w:rsidRDefault="00483DA4" w:rsidP="0051199E">
            <w:pPr>
              <w:rPr>
                <w:rFonts w:eastAsia="Times New Roman" w:cstheme="minorHAnsi"/>
                <w:color w:val="000000" w:themeColor="text1"/>
                <w:kern w:val="0"/>
                <w:lang w:eastAsia="en-GB"/>
                <w14:ligatures w14:val="none"/>
              </w:rPr>
            </w:pPr>
          </w:p>
          <w:p w14:paraId="117B8F86" w14:textId="77777777" w:rsidR="00483DA4" w:rsidRDefault="00483DA4" w:rsidP="0051199E">
            <w:pPr>
              <w:rPr>
                <w:rFonts w:eastAsia="Times New Roman" w:cstheme="minorHAnsi"/>
                <w:color w:val="000000" w:themeColor="text1"/>
                <w:kern w:val="0"/>
                <w:lang w:eastAsia="en-GB"/>
                <w14:ligatures w14:val="none"/>
              </w:rPr>
            </w:pPr>
          </w:p>
          <w:p w14:paraId="77643DA6" w14:textId="77777777" w:rsidR="00483DA4" w:rsidRDefault="00483DA4" w:rsidP="0051199E">
            <w:pPr>
              <w:rPr>
                <w:rFonts w:eastAsia="Times New Roman" w:cstheme="minorHAnsi"/>
                <w:color w:val="000000" w:themeColor="text1"/>
                <w:kern w:val="0"/>
                <w:lang w:eastAsia="en-GB"/>
                <w14:ligatures w14:val="none"/>
              </w:rPr>
            </w:pPr>
          </w:p>
          <w:p w14:paraId="5724E5E3" w14:textId="77777777" w:rsidR="00483DA4" w:rsidRDefault="00483DA4" w:rsidP="0051199E">
            <w:pPr>
              <w:rPr>
                <w:rFonts w:eastAsia="Times New Roman" w:cstheme="minorHAnsi"/>
                <w:color w:val="000000" w:themeColor="text1"/>
                <w:kern w:val="0"/>
                <w:lang w:eastAsia="en-GB"/>
                <w14:ligatures w14:val="none"/>
              </w:rPr>
            </w:pPr>
          </w:p>
          <w:p w14:paraId="74DC4356" w14:textId="77777777" w:rsidR="00483DA4" w:rsidRDefault="00483DA4" w:rsidP="0051199E">
            <w:pPr>
              <w:rPr>
                <w:rFonts w:eastAsia="Times New Roman" w:cstheme="minorHAnsi"/>
                <w:color w:val="000000" w:themeColor="text1"/>
                <w:kern w:val="0"/>
                <w:lang w:eastAsia="en-GB"/>
                <w14:ligatures w14:val="none"/>
              </w:rPr>
            </w:pPr>
          </w:p>
          <w:p w14:paraId="2434F4E5" w14:textId="77777777" w:rsidR="00BC4E53" w:rsidRDefault="00BC4E53" w:rsidP="0051199E">
            <w:pPr>
              <w:rPr>
                <w:rFonts w:eastAsia="Times New Roman" w:cstheme="minorHAnsi"/>
                <w:color w:val="000000" w:themeColor="text1"/>
                <w:kern w:val="0"/>
                <w:lang w:eastAsia="en-GB"/>
                <w14:ligatures w14:val="none"/>
              </w:rPr>
            </w:pPr>
          </w:p>
          <w:p w14:paraId="0806143C" w14:textId="77777777" w:rsidR="00BC4E53" w:rsidRDefault="00BC4E53" w:rsidP="0051199E">
            <w:pPr>
              <w:rPr>
                <w:rFonts w:eastAsia="Times New Roman" w:cstheme="minorHAnsi"/>
                <w:color w:val="000000" w:themeColor="text1"/>
                <w:kern w:val="0"/>
                <w:lang w:eastAsia="en-GB"/>
                <w14:ligatures w14:val="none"/>
              </w:rPr>
            </w:pPr>
          </w:p>
          <w:p w14:paraId="7B47FF54" w14:textId="77777777" w:rsidR="00BC4E53" w:rsidRDefault="00BC4E53" w:rsidP="0051199E">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74D2AD80" w14:textId="55EE22C0" w:rsidR="00BC4E53" w:rsidRDefault="00C81F5F">
            <w:pPr>
              <w:rPr>
                <w:rFonts w:eastAsia="Times New Roman" w:cstheme="minorHAnsi"/>
                <w:b/>
                <w:color w:val="000000" w:themeColor="text1"/>
                <w:kern w:val="0"/>
                <w:lang w:eastAsia="en-GB"/>
                <w14:ligatures w14:val="none"/>
              </w:rPr>
            </w:pPr>
            <w:r w:rsidRPr="00C81F5F">
              <w:rPr>
                <w:rFonts w:eastAsia="Times New Roman" w:cstheme="minorHAnsi"/>
                <w:color w:val="000000" w:themeColor="text1"/>
                <w:kern w:val="0"/>
                <w:lang w:eastAsia="en-GB"/>
                <w14:ligatures w14:val="none"/>
              </w:rPr>
              <w:t>Bloor strongly believes that the housing target in Policy S/JH should be reassessed, with an upward adjustment applied to ensure that the Local Plan is sound and meets its duty to support economic growth ambitions, planned infrastructure investment and affordable housing provision within villages.</w:t>
            </w:r>
          </w:p>
          <w:p w14:paraId="1298B886" w14:textId="77777777" w:rsidR="00BC4E53" w:rsidRDefault="00BC4E53">
            <w:pPr>
              <w:rPr>
                <w:rFonts w:eastAsia="Times New Roman" w:cstheme="minorHAnsi"/>
                <w:b/>
                <w:color w:val="000000" w:themeColor="text1"/>
                <w:kern w:val="0"/>
                <w:lang w:eastAsia="en-GB"/>
                <w14:ligatures w14:val="none"/>
              </w:rPr>
            </w:pP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5F7EDC65"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Proposed Amendments</w:t>
            </w:r>
          </w:p>
          <w:p w14:paraId="20D9F0ED" w14:textId="77777777" w:rsidR="00CC34F2" w:rsidRPr="00CC34F2" w:rsidRDefault="00CC34F2" w:rsidP="00CC34F2">
            <w:pPr>
              <w:rPr>
                <w:rFonts w:eastAsia="Times New Roman" w:cstheme="minorHAnsi"/>
                <w:bCs/>
                <w:color w:val="000000" w:themeColor="text1"/>
                <w:kern w:val="0"/>
                <w:lang w:eastAsia="en-GB"/>
                <w14:ligatures w14:val="none"/>
              </w:rPr>
            </w:pPr>
          </w:p>
          <w:p w14:paraId="63FC6C97"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The following changes should be made to Policy S/JH.</w:t>
            </w:r>
          </w:p>
          <w:p w14:paraId="65DEDB68" w14:textId="77777777" w:rsidR="00CC34F2" w:rsidRPr="00CC34F2" w:rsidRDefault="00CC34F2" w:rsidP="00CC34F2">
            <w:pPr>
              <w:rPr>
                <w:rFonts w:eastAsia="Times New Roman" w:cstheme="minorHAnsi"/>
                <w:bCs/>
                <w:color w:val="000000" w:themeColor="text1"/>
                <w:kern w:val="0"/>
                <w:lang w:eastAsia="en-GB"/>
                <w14:ligatures w14:val="none"/>
              </w:rPr>
            </w:pPr>
          </w:p>
          <w:p w14:paraId="31941CF8" w14:textId="0D292D72" w:rsidR="00CC34F2" w:rsidRDefault="00CC34F2" w:rsidP="00CC34F2">
            <w:pPr>
              <w:pStyle w:val="ListParagraph"/>
              <w:numPr>
                <w:ilvl w:val="0"/>
                <w:numId w:val="4"/>
              </w:num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the relationship between the employment forecast, housing requirement, labour-force growth and commuting patterns is reassessed;</w:t>
            </w:r>
          </w:p>
          <w:p w14:paraId="2A2AC2F3" w14:textId="77777777" w:rsidR="00CC34F2" w:rsidRPr="00CC34F2" w:rsidRDefault="00CC34F2" w:rsidP="00CC34F2">
            <w:pPr>
              <w:pStyle w:val="ListParagraph"/>
              <w:rPr>
                <w:rFonts w:eastAsia="Times New Roman" w:cstheme="minorHAnsi"/>
                <w:bCs/>
                <w:color w:val="000000" w:themeColor="text1"/>
                <w:kern w:val="0"/>
                <w:lang w:eastAsia="en-GB"/>
                <w14:ligatures w14:val="none"/>
              </w:rPr>
            </w:pPr>
          </w:p>
          <w:p w14:paraId="1A28170F" w14:textId="74AF69DC" w:rsidR="00CC34F2" w:rsidRPr="00CC34F2" w:rsidRDefault="00CC34F2" w:rsidP="00CC34F2">
            <w:pPr>
              <w:pStyle w:val="ListParagraph"/>
              <w:numPr>
                <w:ilvl w:val="0"/>
                <w:numId w:val="4"/>
              </w:num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the Council provides clear evidence demonstrating why an appropriate commuting adjustment is not required, or applies such an adjustment where the evidence supports it;</w:t>
            </w:r>
          </w:p>
          <w:p w14:paraId="3220696E" w14:textId="77777777" w:rsidR="00CC34F2" w:rsidRDefault="00CC34F2" w:rsidP="00CC34F2">
            <w:pPr>
              <w:rPr>
                <w:rFonts w:eastAsia="Times New Roman" w:cstheme="minorHAnsi"/>
                <w:bCs/>
                <w:color w:val="000000" w:themeColor="text1"/>
                <w:kern w:val="0"/>
                <w:lang w:eastAsia="en-GB"/>
                <w14:ligatures w14:val="none"/>
              </w:rPr>
            </w:pPr>
          </w:p>
          <w:p w14:paraId="0F096070" w14:textId="024BD469" w:rsidR="00CC34F2" w:rsidRPr="00CC34F2" w:rsidRDefault="00CC34F2" w:rsidP="00CC34F2">
            <w:pPr>
              <w:pStyle w:val="ListParagraph"/>
              <w:numPr>
                <w:ilvl w:val="0"/>
                <w:numId w:val="4"/>
              </w:num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the housing requirement is reviewed in light of economic growth ambitions and infrastructure investment;</w:t>
            </w:r>
          </w:p>
          <w:p w14:paraId="39EE4A23" w14:textId="77777777" w:rsidR="00CC34F2" w:rsidRDefault="00CC34F2" w:rsidP="00CC34F2">
            <w:pPr>
              <w:rPr>
                <w:rFonts w:eastAsia="Times New Roman" w:cstheme="minorHAnsi"/>
                <w:bCs/>
                <w:color w:val="000000" w:themeColor="text1"/>
                <w:kern w:val="0"/>
                <w:lang w:eastAsia="en-GB"/>
                <w14:ligatures w14:val="none"/>
              </w:rPr>
            </w:pPr>
          </w:p>
          <w:p w14:paraId="75C54ED3" w14:textId="7E6D15E7" w:rsidR="00CC34F2" w:rsidRPr="00CC34F2" w:rsidRDefault="00CC34F2" w:rsidP="00CC34F2">
            <w:pPr>
              <w:pStyle w:val="ListParagraph"/>
              <w:numPr>
                <w:ilvl w:val="0"/>
                <w:numId w:val="4"/>
              </w:num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the implications of affordable housing need and the deliverability of affordable housing from the proposed site allocations are properly reflected; and</w:t>
            </w:r>
          </w:p>
          <w:p w14:paraId="1746FC7E" w14:textId="77777777" w:rsidR="00CC34F2" w:rsidRDefault="00CC34F2" w:rsidP="00CC34F2">
            <w:pPr>
              <w:rPr>
                <w:rFonts w:eastAsia="Times New Roman" w:cstheme="minorHAnsi"/>
                <w:bCs/>
                <w:color w:val="000000" w:themeColor="text1"/>
                <w:kern w:val="0"/>
                <w:lang w:eastAsia="en-GB"/>
                <w14:ligatures w14:val="none"/>
              </w:rPr>
            </w:pPr>
          </w:p>
          <w:p w14:paraId="140608E0" w14:textId="6E0D8227" w:rsidR="00375D0B" w:rsidRPr="00CC34F2" w:rsidRDefault="00CC34F2" w:rsidP="00CC34F2">
            <w:pPr>
              <w:pStyle w:val="ListParagraph"/>
              <w:numPr>
                <w:ilvl w:val="0"/>
                <w:numId w:val="4"/>
              </w:numPr>
              <w:rPr>
                <w:rFonts w:eastAsia="Times New Roman" w:cstheme="minorHAnsi"/>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additional sustainable and deliverable sites, including Land East of Ridgeway and Old Pinewood Way, Papworth Everard, are allocated to provide greater flexibility and resilience in housing delivery.</w:t>
            </w: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E0C82" w14:textId="77777777" w:rsidR="007E60AD" w:rsidRDefault="007E60AD" w:rsidP="00393AE9">
      <w:pPr>
        <w:spacing w:after="0" w:line="240" w:lineRule="auto"/>
      </w:pPr>
      <w:r>
        <w:separator/>
      </w:r>
    </w:p>
  </w:endnote>
  <w:endnote w:type="continuationSeparator" w:id="0">
    <w:p w14:paraId="7549DA8D" w14:textId="77777777" w:rsidR="007E60AD" w:rsidRDefault="007E60AD"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B4E6" w14:textId="77777777" w:rsidR="007E60AD" w:rsidRDefault="007E60AD" w:rsidP="00393AE9">
      <w:pPr>
        <w:spacing w:after="0" w:line="240" w:lineRule="auto"/>
      </w:pPr>
      <w:r>
        <w:separator/>
      </w:r>
    </w:p>
  </w:footnote>
  <w:footnote w:type="continuationSeparator" w:id="0">
    <w:p w14:paraId="739373F4" w14:textId="77777777" w:rsidR="007E60AD" w:rsidRDefault="007E60AD"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3"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2"/>
  </w:num>
  <w:num w:numId="3" w16cid:durableId="1591692842">
    <w:abstractNumId w:val="3"/>
  </w:num>
  <w:num w:numId="4" w16cid:durableId="413668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E60AD"/>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1F5F"/>
    <w:rsid w:val="00C853B6"/>
    <w:rsid w:val="00C92261"/>
    <w:rsid w:val="00C9262D"/>
    <w:rsid w:val="00C95288"/>
    <w:rsid w:val="00C97C95"/>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3328</Words>
  <Characters>18873</Characters>
  <Application>Microsoft Office Word</Application>
  <DocSecurity>0</DocSecurity>
  <Lines>349</Lines>
  <Paragraphs>100</Paragraphs>
  <ScaleCrop>false</ScaleCrop>
  <Company/>
  <LinksUpToDate>false</LinksUpToDate>
  <CharactersWithSpaces>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5</cp:revision>
  <cp:lastPrinted>2026-09-28T12:23:00Z</cp:lastPrinted>
  <dcterms:created xsi:type="dcterms:W3CDTF">2026-09-28T12:55:00Z</dcterms:created>
  <dcterms:modified xsi:type="dcterms:W3CDTF">2026-09-28T12:59:00Z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