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5E7D730D" w:rsidR="00E2605E" w:rsidRDefault="002251E0" w:rsidP="000F18D4">
            <w:pPr>
              <w:rPr>
                <w:lang w:eastAsia="en-GB"/>
              </w:rPr>
            </w:pPr>
            <w:r>
              <w:rPr>
                <w:lang w:eastAsia="en-GB"/>
              </w:rPr>
              <w:t>Policy S/JH</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Pr="008D07F4" w:rsidRDefault="00C95288" w:rsidP="0051199E">
            <w:pPr>
              <w:rPr>
                <w:rFonts w:eastAsia="Times New Roman" w:cs="Arial"/>
                <w:color w:val="000000" w:themeColor="text1"/>
                <w:kern w:val="0"/>
                <w:lang w:eastAsia="en-GB"/>
                <w14:ligatures w14:val="none"/>
              </w:rPr>
            </w:pPr>
          </w:p>
          <w:p w14:paraId="37CBB8B3" w14:textId="77777777" w:rsidR="00C81F5F" w:rsidRPr="008D07F4" w:rsidRDefault="00C81F5F" w:rsidP="00C81F5F">
            <w:pPr>
              <w:rPr>
                <w:rFonts w:eastAsia="Times New Roman" w:cs="Arial"/>
                <w:color w:val="000000" w:themeColor="text1"/>
                <w:kern w:val="0"/>
                <w:lang w:eastAsia="en-GB"/>
                <w14:ligatures w14:val="none"/>
              </w:rPr>
            </w:pPr>
            <w:r w:rsidRPr="008D07F4">
              <w:rPr>
                <w:rFonts w:eastAsia="Times New Roman" w:cs="Arial"/>
                <w:color w:val="000000" w:themeColor="text1"/>
                <w:kern w:val="0"/>
                <w:lang w:eastAsia="en-GB"/>
                <w14:ligatures w14:val="none"/>
              </w:rPr>
              <w:t xml:space="preserve">Policy S/JH: New Jobs and Homes </w:t>
            </w:r>
          </w:p>
          <w:p w14:paraId="1D797CC7" w14:textId="77777777" w:rsidR="00C81F5F" w:rsidRPr="008D07F4" w:rsidRDefault="00C81F5F" w:rsidP="00C81F5F">
            <w:pPr>
              <w:rPr>
                <w:rFonts w:eastAsia="Times New Roman" w:cs="Arial"/>
                <w:color w:val="000000" w:themeColor="text1"/>
                <w:kern w:val="0"/>
                <w:lang w:eastAsia="en-GB"/>
                <w14:ligatures w14:val="none"/>
              </w:rPr>
            </w:pPr>
          </w:p>
          <w:p w14:paraId="58B49849" w14:textId="77777777" w:rsidR="00C81F5F" w:rsidRPr="008D07F4" w:rsidRDefault="00C81F5F" w:rsidP="00C81F5F">
            <w:pPr>
              <w:rPr>
                <w:rFonts w:eastAsia="Times New Roman" w:cs="Arial"/>
                <w:color w:val="000000" w:themeColor="text1"/>
                <w:kern w:val="0"/>
                <w:lang w:eastAsia="en-GB"/>
                <w14:ligatures w14:val="none"/>
              </w:rPr>
            </w:pPr>
            <w:r w:rsidRPr="008D07F4">
              <w:rPr>
                <w:rFonts w:eastAsia="Times New Roman" w:cs="Arial"/>
                <w:color w:val="000000" w:themeColor="text1"/>
                <w:kern w:val="0"/>
                <w:lang w:eastAsia="en-GB"/>
                <w14:ligatures w14:val="none"/>
              </w:rPr>
              <w:t>Object</w:t>
            </w:r>
          </w:p>
          <w:p w14:paraId="234318FD" w14:textId="77777777" w:rsidR="00C81F5F" w:rsidRPr="008D07F4" w:rsidRDefault="00C81F5F" w:rsidP="00C81F5F">
            <w:pPr>
              <w:rPr>
                <w:rFonts w:eastAsia="Times New Roman" w:cs="Arial"/>
                <w:color w:val="000000" w:themeColor="text1"/>
                <w:kern w:val="0"/>
                <w:lang w:eastAsia="en-GB"/>
                <w14:ligatures w14:val="none"/>
              </w:rPr>
            </w:pPr>
          </w:p>
          <w:p w14:paraId="112D4875" w14:textId="77777777" w:rsidR="008D07F4" w:rsidRPr="008D07F4" w:rsidRDefault="008D07F4" w:rsidP="008D07F4">
            <w:pPr>
              <w:rPr>
                <w:rFonts w:cs="Arial"/>
                <w:highlight w:val="yellow"/>
              </w:rPr>
            </w:pPr>
            <w:r w:rsidRPr="008D07F4">
              <w:rPr>
                <w:rFonts w:cs="Arial"/>
              </w:rPr>
              <w:t>These representations are submitted by Bloor Homes Eastern in its capacity as a site promoter with regards to Land North of Cambridge Road site in Linton (HELAA reference 115928), whereby they are seeking an allocation. The site is located adjacent to Linton Village College.</w:t>
            </w:r>
          </w:p>
          <w:p w14:paraId="114171B2" w14:textId="77777777" w:rsidR="008D07F4" w:rsidRPr="008D07F4" w:rsidRDefault="008D07F4" w:rsidP="008D07F4">
            <w:pPr>
              <w:rPr>
                <w:rFonts w:cs="Arial"/>
                <w:highlight w:val="yellow"/>
              </w:rPr>
            </w:pPr>
          </w:p>
          <w:p w14:paraId="16B36E31" w14:textId="77777777" w:rsidR="008D07F4" w:rsidRPr="008D07F4" w:rsidRDefault="008D07F4" w:rsidP="008D07F4">
            <w:pPr>
              <w:rPr>
                <w:rFonts w:cs="Arial"/>
              </w:rPr>
            </w:pPr>
            <w:r w:rsidRPr="008D07F4">
              <w:rPr>
                <w:rFonts w:cs="Arial"/>
              </w:rPr>
              <w:t xml:space="preserve">Policy S/JH of the draft GCLP sets out the targets for jobs and housing during the plan period from 2024 to 2045. The jobs target is 73,300 additional jobs, and the housing target is a minimum of 48,195 dwellings. </w:t>
            </w:r>
          </w:p>
          <w:p w14:paraId="7C970DF0" w14:textId="77777777" w:rsidR="008D07F4" w:rsidRPr="008D07F4" w:rsidRDefault="008D07F4" w:rsidP="008D07F4">
            <w:pPr>
              <w:rPr>
                <w:rFonts w:cs="Arial"/>
              </w:rPr>
            </w:pPr>
          </w:p>
          <w:p w14:paraId="49FE9C9C" w14:textId="77777777" w:rsidR="008D07F4" w:rsidRPr="008D07F4" w:rsidRDefault="008D07F4" w:rsidP="008D07F4">
            <w:pPr>
              <w:rPr>
                <w:rFonts w:cs="Arial"/>
              </w:rPr>
            </w:pPr>
            <w:r w:rsidRPr="008D07F4">
              <w:rPr>
                <w:rFonts w:cs="Arial"/>
              </w:rPr>
              <w:t>The proposed housing target is derived from the national standard method figure for calculating local housing needs, which for Greater Cambridge is 2,289 dwellings per annum (based upon the identified annual need for 1,085 dwellings in Cambridge and 1,204 dwellings in South Cambridgeshire). In summary, the housing target is not consistent with national policy because upward adjustments for growth and affordable housing have not been considered.</w:t>
            </w:r>
          </w:p>
          <w:p w14:paraId="47CAE037" w14:textId="77777777" w:rsidR="008D07F4" w:rsidRPr="008D07F4" w:rsidRDefault="008D07F4" w:rsidP="008D07F4">
            <w:pPr>
              <w:rPr>
                <w:rFonts w:cs="Arial"/>
              </w:rPr>
            </w:pPr>
            <w:r w:rsidRPr="008D07F4">
              <w:rPr>
                <w:rFonts w:cs="Arial"/>
              </w:rPr>
              <w:t>Furthermore, it is important to note that for 5-Year Housing Land Supply purposes, the 2025 Housing Delivery Test results published in August 2026 now require Cambridge City to apply a 20% buffer to its annual housing requirement figure of 1,085 dwellings. This results in a new annual housing requirement figure of 1,302 dwellings.</w:t>
            </w:r>
          </w:p>
          <w:p w14:paraId="4D088C20" w14:textId="77777777" w:rsidR="008D07F4" w:rsidRPr="008D07F4" w:rsidRDefault="008D07F4" w:rsidP="008D07F4">
            <w:pPr>
              <w:rPr>
                <w:rFonts w:cs="Arial"/>
              </w:rPr>
            </w:pPr>
          </w:p>
          <w:p w14:paraId="5BF481EA" w14:textId="77777777" w:rsidR="008D07F4" w:rsidRPr="008D07F4" w:rsidRDefault="008D07F4" w:rsidP="008D07F4">
            <w:pPr>
              <w:rPr>
                <w:rFonts w:cs="Arial"/>
              </w:rPr>
            </w:pPr>
            <w:r w:rsidRPr="008D07F4">
              <w:rPr>
                <w:rFonts w:cs="Arial"/>
              </w:rPr>
              <w:t>In respect of South Cambridgeshire, its required buffer of 5% increases its annual standard method requirement from 1,204 to 1,264 dwellings.</w:t>
            </w:r>
          </w:p>
          <w:p w14:paraId="4E28C320" w14:textId="77777777" w:rsidR="008D07F4" w:rsidRPr="008D07F4" w:rsidRDefault="008D07F4" w:rsidP="008D07F4">
            <w:pPr>
              <w:rPr>
                <w:rFonts w:cs="Arial"/>
              </w:rPr>
            </w:pPr>
          </w:p>
          <w:p w14:paraId="0CD289A8" w14:textId="77777777" w:rsidR="008D07F4" w:rsidRPr="008D07F4" w:rsidRDefault="008D07F4" w:rsidP="008D07F4">
            <w:pPr>
              <w:rPr>
                <w:rFonts w:cs="Arial"/>
              </w:rPr>
            </w:pPr>
            <w:r w:rsidRPr="008D07F4">
              <w:rPr>
                <w:rFonts w:cs="Arial"/>
              </w:rPr>
              <w:t>Consequently, rather than the average 2,289 dwellings needed per annum under the standard methodology, together the two authorities will instead need to be able to deliver 2,566 dwellings per annum in order to meet their latest 5-Year Housing Land Supply requirement and demonstrate that their Joint Plan is sound. This equates to a total of 12,830 dwellings (2,566 x 5).</w:t>
            </w:r>
          </w:p>
          <w:p w14:paraId="03F79C25" w14:textId="77777777" w:rsidR="008D07F4" w:rsidRPr="008D07F4" w:rsidRDefault="008D07F4" w:rsidP="008D07F4">
            <w:pPr>
              <w:rPr>
                <w:rFonts w:cs="Arial"/>
              </w:rPr>
            </w:pPr>
          </w:p>
          <w:p w14:paraId="4D2DEE10" w14:textId="77777777" w:rsidR="008D07F4" w:rsidRPr="008D07F4" w:rsidRDefault="008D07F4" w:rsidP="008D07F4">
            <w:pPr>
              <w:rPr>
                <w:rFonts w:cs="Arial"/>
              </w:rPr>
            </w:pPr>
            <w:r w:rsidRPr="008D07F4">
              <w:rPr>
                <w:rFonts w:cs="Arial"/>
              </w:rPr>
              <w:t>This demonstrates the importance of ensuring that the Local Plan contains a ready pipeline of small and medium sized sites that are capable of delivering new housing in the early years of the Plan period, prior to many of Greater Cambridge’s larger strategic sites being capable of delivery due to associated infrastructure provision constraints.</w:t>
            </w:r>
          </w:p>
          <w:p w14:paraId="7612C59C" w14:textId="77777777" w:rsidR="008D07F4" w:rsidRPr="008D07F4" w:rsidRDefault="008D07F4" w:rsidP="008D07F4">
            <w:pPr>
              <w:rPr>
                <w:rFonts w:cs="Arial"/>
              </w:rPr>
            </w:pPr>
          </w:p>
          <w:p w14:paraId="4933DDCB" w14:textId="77777777" w:rsidR="008D07F4" w:rsidRPr="008D07F4" w:rsidRDefault="008D07F4" w:rsidP="008D07F4">
            <w:pPr>
              <w:rPr>
                <w:rFonts w:cs="Arial"/>
              </w:rPr>
            </w:pPr>
            <w:r w:rsidRPr="008D07F4">
              <w:rPr>
                <w:rFonts w:cs="Arial"/>
              </w:rPr>
              <w:lastRenderedPageBreak/>
              <w:t xml:space="preserve">We believe that the job target is not aligned with the housing target. It is considered that a job target that is higher than the housing target would require potential employees to commute into Greater Cambridge to fill those jobs. This outcome would lead to an increase in in-commuting to Greater Cambridge. It is anticipated that most of the in-commuting would be by car, particularly if public transport options are not available or the delivery of transport infrastructure projects are subject to unconfirmed funding decisions and associated development. </w:t>
            </w:r>
          </w:p>
          <w:p w14:paraId="65D092C7" w14:textId="77777777" w:rsidR="008D07F4" w:rsidRPr="008D07F4" w:rsidRDefault="008D07F4" w:rsidP="008D07F4">
            <w:pPr>
              <w:rPr>
                <w:rFonts w:cs="Arial"/>
                <w:highlight w:val="yellow"/>
              </w:rPr>
            </w:pPr>
          </w:p>
          <w:p w14:paraId="0D9BDAED" w14:textId="77777777" w:rsidR="008D07F4" w:rsidRPr="008D07F4" w:rsidRDefault="008D07F4" w:rsidP="008D07F4">
            <w:pPr>
              <w:rPr>
                <w:rFonts w:cs="Arial"/>
                <w:highlight w:val="yellow"/>
              </w:rPr>
            </w:pPr>
            <w:r w:rsidRPr="008D07F4">
              <w:rPr>
                <w:rFonts w:cs="Arial"/>
              </w:rPr>
              <w:t>Bloor strongly objects to the overall housing numbers proposed within the plan and believes that these require an upwards revision. The jobs and housing targets in the draft Plan are not aligned. A higher jobs target relative to housing provision will necessitate increased in-commuting to meet labour demands. Earlier evidence, specifically the 2023 Greater Cambridge Employment and Housing Evidence Update, derived its housing target using a Central Growth Scenario, preferred 2011 Census commuting data, and a 1:1 commuting adjustment to ensure closer alignment between job growth and housing need. However, the 2025 Greater Cambridge Employment and Housing Needs Update did not apply any equivalent adjustment. Nor is any reference to this contained within the 2026 Jobs Topic Paper.</w:t>
            </w:r>
          </w:p>
          <w:p w14:paraId="2F2A6887" w14:textId="77777777" w:rsidR="008D07F4" w:rsidRPr="008D07F4" w:rsidRDefault="008D07F4" w:rsidP="008D07F4">
            <w:pPr>
              <w:rPr>
                <w:rFonts w:cs="Arial"/>
                <w:highlight w:val="yellow"/>
              </w:rPr>
            </w:pPr>
          </w:p>
          <w:p w14:paraId="08F8BFE3" w14:textId="77777777" w:rsidR="008D07F4" w:rsidRPr="008D07F4" w:rsidRDefault="008D07F4" w:rsidP="008D07F4">
            <w:pPr>
              <w:rPr>
                <w:rFonts w:cs="Arial"/>
              </w:rPr>
            </w:pPr>
            <w:r w:rsidRPr="008D07F4">
              <w:rPr>
                <w:rFonts w:cs="Arial"/>
              </w:rPr>
              <w:t>While the 2025 Strategy Topic Paper acknowledged the importance of commuting patterns in understanding the jobs–housing relationship, it similarly failed to apply a commuting adjustment to the housing requirement. Consequently, despite recognising commuter dynamics, the Topic Paper and the updated evidence base did not translate this into the housing target. The same deficiency applies to the content of the 2026 Development Strategy Topic Paper.</w:t>
            </w:r>
          </w:p>
          <w:p w14:paraId="49E62DD2" w14:textId="77777777" w:rsidR="008D07F4" w:rsidRPr="008D07F4" w:rsidRDefault="008D07F4" w:rsidP="008D07F4">
            <w:pPr>
              <w:rPr>
                <w:rFonts w:cs="Arial"/>
              </w:rPr>
            </w:pPr>
          </w:p>
          <w:p w14:paraId="1E78C0A3" w14:textId="77777777" w:rsidR="008D07F4" w:rsidRPr="008D07F4" w:rsidRDefault="008D07F4" w:rsidP="008D07F4">
            <w:pPr>
              <w:rPr>
                <w:rFonts w:cs="Arial"/>
              </w:rPr>
            </w:pPr>
            <w:r w:rsidRPr="008D07F4">
              <w:rPr>
                <w:rFonts w:cs="Arial"/>
              </w:rPr>
              <w:t>This omission results in a housing requirement that remains too low to support the proposed jobs growth, exacerbates the risk of increased in-commuting, and undermines the effectiveness and soundness of Policy S/JH.</w:t>
            </w:r>
          </w:p>
          <w:p w14:paraId="1982DD8C" w14:textId="77777777" w:rsidR="008D07F4" w:rsidRPr="008D07F4" w:rsidRDefault="008D07F4" w:rsidP="008D07F4">
            <w:pPr>
              <w:rPr>
                <w:rFonts w:cs="Arial"/>
              </w:rPr>
            </w:pPr>
          </w:p>
          <w:p w14:paraId="4C79FD67" w14:textId="77777777" w:rsidR="008D07F4" w:rsidRPr="008D07F4" w:rsidRDefault="008D07F4" w:rsidP="008D07F4">
            <w:pPr>
              <w:rPr>
                <w:rFonts w:cs="Arial"/>
              </w:rPr>
            </w:pPr>
            <w:r w:rsidRPr="008D07F4">
              <w:rPr>
                <w:rFonts w:cs="Arial"/>
              </w:rPr>
              <w:t xml:space="preserve">Policy HO1: Assessing the Need for Homes within the Framework expects the standard method in Annex D to be used. The policy also requires local authorities to assess the minimum number of dwellings needed, as well as the size, type and tenure of housing or other accommodation needed for different groups, including for example those with an affordable housing need. </w:t>
            </w:r>
          </w:p>
          <w:p w14:paraId="7EFB456F" w14:textId="77777777" w:rsidR="008D07F4" w:rsidRPr="008D07F4" w:rsidRDefault="008D07F4" w:rsidP="008D07F4">
            <w:pPr>
              <w:rPr>
                <w:rFonts w:cs="Arial"/>
                <w:highlight w:val="yellow"/>
              </w:rPr>
            </w:pPr>
          </w:p>
          <w:p w14:paraId="08A3BE8B" w14:textId="77777777" w:rsidR="008D07F4" w:rsidRPr="008D07F4" w:rsidRDefault="008D07F4" w:rsidP="008D07F4">
            <w:pPr>
              <w:rPr>
                <w:rFonts w:cs="Arial"/>
              </w:rPr>
            </w:pPr>
            <w:r w:rsidRPr="008D07F4">
              <w:rPr>
                <w:rFonts w:cs="Arial"/>
              </w:rPr>
              <w:t>Policy HO2: Setting Requirement Figures for Homes states in section 3 (b) that t</w:t>
            </w:r>
            <w:r w:rsidRPr="008D07F4">
              <w:rPr>
                <w:rFonts w:cs="Arial"/>
                <w:i/>
                <w:iCs/>
              </w:rPr>
              <w:t>he requirement may “be higher than the overall figure identified in the local housing needs assessment where appropriate. This includes situations where a higher housing requirement is necessary to meet the needs of neighbouring areas, or to reflect growth ambitions linked to economic development or infrastructure investment.…”</w:t>
            </w:r>
            <w:r w:rsidRPr="008D07F4">
              <w:rPr>
                <w:rFonts w:cs="Arial"/>
              </w:rPr>
              <w:t xml:space="preserve">. </w:t>
            </w:r>
          </w:p>
          <w:p w14:paraId="0CD1A0DB" w14:textId="77777777" w:rsidR="008D07F4" w:rsidRPr="008D07F4" w:rsidRDefault="008D07F4" w:rsidP="008D07F4">
            <w:pPr>
              <w:rPr>
                <w:rFonts w:cs="Arial"/>
                <w:highlight w:val="yellow"/>
              </w:rPr>
            </w:pPr>
          </w:p>
          <w:p w14:paraId="6114BA89" w14:textId="77777777" w:rsidR="008D07F4" w:rsidRPr="008D07F4" w:rsidRDefault="008D07F4" w:rsidP="008D07F4">
            <w:pPr>
              <w:rPr>
                <w:rFonts w:cs="Arial"/>
              </w:rPr>
            </w:pPr>
            <w:r w:rsidRPr="008D07F4">
              <w:rPr>
                <w:rFonts w:cs="Arial"/>
              </w:rPr>
              <w:t>Policy HO13: Build Out of Residential and Strategic Sites within the NPPF (August 2026) confirms the Government’s objective to significantly boost the supply of housing.</w:t>
            </w:r>
          </w:p>
          <w:p w14:paraId="734516D2" w14:textId="77777777" w:rsidR="008D07F4" w:rsidRPr="008D07F4" w:rsidRDefault="008D07F4" w:rsidP="008D07F4">
            <w:pPr>
              <w:rPr>
                <w:rFonts w:cs="Arial"/>
                <w:highlight w:val="yellow"/>
              </w:rPr>
            </w:pPr>
          </w:p>
          <w:p w14:paraId="3C897C90" w14:textId="77777777" w:rsidR="008D07F4" w:rsidRPr="008D07F4" w:rsidRDefault="008D07F4" w:rsidP="008D07F4">
            <w:pPr>
              <w:rPr>
                <w:rFonts w:cs="Arial"/>
              </w:rPr>
            </w:pPr>
            <w:r w:rsidRPr="008D07F4">
              <w:rPr>
                <w:rFonts w:cs="Arial"/>
              </w:rPr>
              <w:t xml:space="preserve">Paragraph 008 (ID. 67 - Housing needs of different groups) in the Planning Practice Guidance states in part that </w:t>
            </w:r>
            <w:r w:rsidRPr="008D07F4">
              <w:rPr>
                <w:rFonts w:cs="Arial"/>
                <w:i/>
                <w:iCs/>
              </w:rPr>
              <w:t>“An increase in the total housing requirement included in the plan may need to be considered where it could help deliver the required number of affordable homes”</w:t>
            </w:r>
            <w:r w:rsidRPr="008D07F4">
              <w:rPr>
                <w:rFonts w:cs="Arial"/>
              </w:rPr>
              <w:t xml:space="preserve">. </w:t>
            </w:r>
          </w:p>
          <w:p w14:paraId="017C66F9" w14:textId="77777777" w:rsidR="008D07F4" w:rsidRPr="008D07F4" w:rsidRDefault="008D07F4" w:rsidP="008D07F4">
            <w:pPr>
              <w:rPr>
                <w:rFonts w:cs="Arial"/>
              </w:rPr>
            </w:pPr>
          </w:p>
          <w:p w14:paraId="1C871CF3" w14:textId="77777777" w:rsidR="008D07F4" w:rsidRPr="008D07F4" w:rsidRDefault="008D07F4" w:rsidP="008D07F4">
            <w:pPr>
              <w:rPr>
                <w:rFonts w:cs="Arial"/>
              </w:rPr>
            </w:pPr>
            <w:r w:rsidRPr="008D07F4">
              <w:rPr>
                <w:rFonts w:cs="Arial"/>
              </w:rPr>
              <w:lastRenderedPageBreak/>
              <w:t>The housing target in Policy S/JH is based on the standard method only, with no adjustments for growth linked to economic development and infrastructure investment or to meet affordable housing needs, all of which are relevant to Greater Cambridge.</w:t>
            </w:r>
          </w:p>
          <w:p w14:paraId="066E5C7D" w14:textId="77777777" w:rsidR="008D07F4" w:rsidRPr="008D07F4" w:rsidRDefault="008D07F4" w:rsidP="008D07F4">
            <w:pPr>
              <w:rPr>
                <w:rFonts w:cs="Arial"/>
                <w:highlight w:val="yellow"/>
              </w:rPr>
            </w:pPr>
          </w:p>
          <w:p w14:paraId="52DEEDF4" w14:textId="77777777" w:rsidR="008D07F4" w:rsidRPr="008D07F4" w:rsidRDefault="008D07F4" w:rsidP="008D07F4">
            <w:pPr>
              <w:rPr>
                <w:rFonts w:cs="Arial"/>
                <w:highlight w:val="yellow"/>
              </w:rPr>
            </w:pPr>
            <w:r w:rsidRPr="008D07F4">
              <w:rPr>
                <w:rFonts w:cs="Arial"/>
              </w:rPr>
              <w:t>For jobs, the Greater Cambridge Employment and Housing Evidence Update 2025 (EHNU 2025) draws on the latest available data to identify the “central” most likely future jobs forecast taking account of what is unique about the Greater Cambridge economy, including life science and ICT sectors – priority sectors identified in the Cambridgeshire and Peterborough Local Growth Plan. The Draft Plan specifies that this position was reconfirmed by the Review of economic data, context and representations 2026. The central forecast assumes strong growth of around 3,500 additional jobs per annum or more through to 2045 – continuing the recent period of rapid growth seen in Greater Cambridge’s Knowledge Intensive sectors, but also building in an assumption that there will be slower or contracting periods and unforeseen shocks, which are likely in most economies. We consider that we should plan for this forecast of the most likely level of new jobs.</w:t>
            </w:r>
          </w:p>
          <w:p w14:paraId="4D5B9739" w14:textId="77777777" w:rsidR="008D07F4" w:rsidRPr="008D07F4" w:rsidRDefault="008D07F4" w:rsidP="008D07F4">
            <w:pPr>
              <w:rPr>
                <w:rFonts w:cs="Arial"/>
                <w:highlight w:val="yellow"/>
              </w:rPr>
            </w:pPr>
          </w:p>
          <w:p w14:paraId="4DC54551" w14:textId="77777777" w:rsidR="008D07F4" w:rsidRPr="008D07F4" w:rsidRDefault="008D07F4" w:rsidP="008D07F4">
            <w:pPr>
              <w:rPr>
                <w:rFonts w:cs="Arial"/>
              </w:rPr>
            </w:pPr>
            <w:r w:rsidRPr="008D07F4">
              <w:rPr>
                <w:rFonts w:cs="Arial"/>
              </w:rPr>
              <w:t>As a result of the Government’s establishment of the Cambridge Growth Company, and significant infrastructure investment (including East West Rail, Cambridge South Station and the Greenways network), we believe that the Greater Cambridge Authorities are taking an overly pessimistic approach to the anticipated level of job creation, and that an economic uplift should be applied to the housing target.</w:t>
            </w:r>
          </w:p>
          <w:p w14:paraId="24010593" w14:textId="77777777" w:rsidR="008D07F4" w:rsidRPr="008D07F4" w:rsidRDefault="008D07F4" w:rsidP="008D07F4">
            <w:pPr>
              <w:rPr>
                <w:rFonts w:cs="Arial"/>
              </w:rPr>
            </w:pPr>
          </w:p>
          <w:p w14:paraId="563FA760" w14:textId="77777777" w:rsidR="008D07F4" w:rsidRPr="008D07F4" w:rsidRDefault="008D07F4" w:rsidP="008D07F4">
            <w:pPr>
              <w:rPr>
                <w:rFonts w:cs="Arial"/>
              </w:rPr>
            </w:pPr>
            <w:r w:rsidRPr="008D07F4">
              <w:rPr>
                <w:rFonts w:cs="Arial"/>
              </w:rPr>
              <w:t>The accompanying Jobs Topic Paper references the Get Cambridgeshire and Peterborough Growing, the Cambridgeshire and Peterborough Combined Authority Local Growth Plan, approved in October 2025, identifies Greater Cambridge as Global City Cambridge Opportunity Zone.</w:t>
            </w:r>
          </w:p>
          <w:p w14:paraId="6304F8F2" w14:textId="77777777" w:rsidR="008D07F4" w:rsidRPr="008D07F4" w:rsidRDefault="008D07F4" w:rsidP="008D07F4">
            <w:pPr>
              <w:rPr>
                <w:rFonts w:cs="Arial"/>
              </w:rPr>
            </w:pPr>
          </w:p>
          <w:p w14:paraId="50CF4B68" w14:textId="77777777" w:rsidR="008D07F4" w:rsidRPr="008D07F4" w:rsidRDefault="008D07F4" w:rsidP="008D07F4">
            <w:pPr>
              <w:ind w:left="720"/>
              <w:rPr>
                <w:rFonts w:cs="Arial"/>
                <w:i/>
                <w:iCs/>
              </w:rPr>
            </w:pPr>
            <w:r w:rsidRPr="008D07F4">
              <w:rPr>
                <w:rFonts w:cs="Arial"/>
                <w:i/>
                <w:iCs/>
              </w:rPr>
              <w:t>“This Opportunity Zone is focused on turbocharging an already globally recognised industry. It will continue to concentrate priority sectors in Cambridge while unblocking key infrastructure gaps with a focus on our shared priorities with Government. Comprised of nine key projects, and interventions focused on making Cambridge as globally competitive as possible, this Opportunity Zone is of the utmost strategic importance, not only for the area, but for the nation.”</w:t>
            </w:r>
          </w:p>
          <w:p w14:paraId="3B8CB969" w14:textId="77777777" w:rsidR="008D07F4" w:rsidRPr="008D07F4" w:rsidRDefault="008D07F4" w:rsidP="008D07F4">
            <w:pPr>
              <w:rPr>
                <w:rFonts w:cs="Arial"/>
              </w:rPr>
            </w:pPr>
          </w:p>
          <w:p w14:paraId="20B1C8D0" w14:textId="77777777" w:rsidR="008D07F4" w:rsidRPr="008D07F4" w:rsidRDefault="008D07F4" w:rsidP="008D07F4">
            <w:pPr>
              <w:rPr>
                <w:rFonts w:cs="Arial"/>
              </w:rPr>
            </w:pPr>
            <w:r w:rsidRPr="008D07F4">
              <w:rPr>
                <w:rFonts w:cs="Arial"/>
              </w:rPr>
              <w:t xml:space="preserve">The sector focus in the area will be Life Sciences, Advanced Manufacturing &amp; Materials; Digital Technologies; Defence; Agri-Food &amp; Tech and Energy &amp; Clean-Tech. The key projects within Greater Cambridge area are A10 improvements, Cambourne, Cambridge East, North East Cambridge and Mass Rapid Transit. The interventions are securing global industries into Cambridge; establishing an Ox-Cam Institute for innovation led growth and exploring venture capital. </w:t>
            </w:r>
          </w:p>
          <w:p w14:paraId="5F719AF8" w14:textId="77777777" w:rsidR="008D07F4" w:rsidRPr="008D07F4" w:rsidRDefault="008D07F4" w:rsidP="008D07F4">
            <w:pPr>
              <w:rPr>
                <w:rFonts w:cs="Arial"/>
              </w:rPr>
            </w:pPr>
          </w:p>
          <w:p w14:paraId="2452F9E8" w14:textId="77777777" w:rsidR="008D07F4" w:rsidRPr="008D07F4" w:rsidRDefault="008D07F4" w:rsidP="008D07F4">
            <w:pPr>
              <w:rPr>
                <w:rFonts w:cs="Arial"/>
              </w:rPr>
            </w:pPr>
            <w:r w:rsidRPr="008D07F4">
              <w:rPr>
                <w:rFonts w:cs="Arial"/>
              </w:rPr>
              <w:t>The Growth Plan states that with National Reach and Global Impact very large numbers of new jobs are anticipated to be delivered at the following two locations within Greater Cambridge:</w:t>
            </w:r>
          </w:p>
          <w:p w14:paraId="1E49FCA5" w14:textId="77777777" w:rsidR="008D07F4" w:rsidRPr="008D07F4" w:rsidRDefault="008D07F4" w:rsidP="008D07F4">
            <w:pPr>
              <w:rPr>
                <w:rFonts w:cs="Arial"/>
              </w:rPr>
            </w:pPr>
          </w:p>
          <w:p w14:paraId="176E04BC" w14:textId="77777777" w:rsidR="008D07F4" w:rsidRPr="008D07F4" w:rsidRDefault="008D07F4" w:rsidP="008D07F4">
            <w:pPr>
              <w:pStyle w:val="ListParagraph"/>
              <w:numPr>
                <w:ilvl w:val="0"/>
                <w:numId w:val="5"/>
              </w:numPr>
              <w:rPr>
                <w:rFonts w:cs="Arial"/>
              </w:rPr>
            </w:pPr>
            <w:r w:rsidRPr="008D07F4">
              <w:rPr>
                <w:rFonts w:cs="Arial"/>
              </w:rPr>
              <w:t xml:space="preserve">There is scope for significant expansion of the Cambridge Biomedical Campus. The 2024 Spatial Framework for the site sets out how this can become 1,600,000sqm by 2050, driving job creation by attracting and growing new life science business, capturing internationally mobile investment, including multinational R&amp;D headquarters and building the world’s most research activated </w:t>
            </w:r>
            <w:r w:rsidRPr="008D07F4">
              <w:rPr>
                <w:rFonts w:cs="Arial"/>
              </w:rPr>
              <w:lastRenderedPageBreak/>
              <w:t>healthcare infrastructure. The projected Growth in jobs is an additional 23,000 jobs by 2050.</w:t>
            </w:r>
          </w:p>
          <w:p w14:paraId="72B85C03" w14:textId="77777777" w:rsidR="008D07F4" w:rsidRPr="008D07F4" w:rsidRDefault="008D07F4" w:rsidP="008D07F4">
            <w:pPr>
              <w:rPr>
                <w:rFonts w:cs="Arial"/>
              </w:rPr>
            </w:pPr>
          </w:p>
          <w:p w14:paraId="25AED661" w14:textId="77777777" w:rsidR="008D07F4" w:rsidRPr="008D07F4" w:rsidRDefault="008D07F4" w:rsidP="008D07F4">
            <w:pPr>
              <w:pStyle w:val="ListParagraph"/>
              <w:numPr>
                <w:ilvl w:val="0"/>
                <w:numId w:val="5"/>
              </w:numPr>
              <w:rPr>
                <w:rFonts w:cs="Arial"/>
              </w:rPr>
            </w:pPr>
            <w:r w:rsidRPr="008D07F4">
              <w:rPr>
                <w:rFonts w:cs="Arial"/>
              </w:rPr>
              <w:t>Cambridge Business Park: The Crown Estate have unveiled bold proposals to regenerate Cambridge Business Park and create a new innovation ecosystem in Northeast Cambridge. The £1.5bn project will create over 8,000 jobs</w:t>
            </w:r>
          </w:p>
          <w:p w14:paraId="3F63014F" w14:textId="77777777" w:rsidR="008D07F4" w:rsidRPr="008D07F4" w:rsidRDefault="008D07F4" w:rsidP="008D07F4">
            <w:pPr>
              <w:rPr>
                <w:rFonts w:cs="Arial"/>
                <w:highlight w:val="yellow"/>
              </w:rPr>
            </w:pPr>
          </w:p>
          <w:p w14:paraId="543604C5" w14:textId="77777777" w:rsidR="008D07F4" w:rsidRPr="008D07F4" w:rsidRDefault="008D07F4" w:rsidP="008D07F4">
            <w:pPr>
              <w:rPr>
                <w:rFonts w:cs="Arial"/>
              </w:rPr>
            </w:pPr>
            <w:r w:rsidRPr="008D07F4">
              <w:rPr>
                <w:rFonts w:cs="Arial"/>
              </w:rPr>
              <w:t>These are just two examples that demonstrate the mismatch between the numbers of job needed and the number of homes that will actually be provided within Greater Cambridge over the course of the plan period.</w:t>
            </w:r>
          </w:p>
          <w:p w14:paraId="3761E7F0" w14:textId="77777777" w:rsidR="008D07F4" w:rsidRPr="008D07F4" w:rsidRDefault="008D07F4" w:rsidP="008D07F4">
            <w:pPr>
              <w:rPr>
                <w:rFonts w:cs="Arial"/>
                <w:highlight w:val="yellow"/>
              </w:rPr>
            </w:pPr>
            <w:r w:rsidRPr="008D07F4">
              <w:rPr>
                <w:rFonts w:cs="Arial"/>
                <w:highlight w:val="yellow"/>
              </w:rPr>
              <w:t xml:space="preserve"> </w:t>
            </w:r>
          </w:p>
          <w:p w14:paraId="420BAB05" w14:textId="77777777" w:rsidR="008D07F4" w:rsidRPr="008D07F4" w:rsidRDefault="008D07F4" w:rsidP="008D07F4">
            <w:pPr>
              <w:rPr>
                <w:rFonts w:cs="Arial"/>
                <w:highlight w:val="yellow"/>
              </w:rPr>
            </w:pPr>
            <w:r w:rsidRPr="008D07F4">
              <w:rPr>
                <w:rFonts w:cs="Arial"/>
              </w:rPr>
              <w:t>The Greater Cambridge City Deal recognised the strong relationship between housing supply and economic performance, noting that constrained housing availability and affordability have influenced house prices, commuting patterns, and employers’ ability to attract and retain staff. The Cambridgeshire and Peterborough Devolution Deal similarly committed to substantial economic growth, including a target to double economic output over 25 years.</w:t>
            </w:r>
            <w:r w:rsidRPr="008D07F4">
              <w:rPr>
                <w:rFonts w:cs="Arial"/>
                <w:highlight w:val="yellow"/>
              </w:rPr>
              <w:t xml:space="preserve"> </w:t>
            </w:r>
          </w:p>
          <w:p w14:paraId="54ACA792" w14:textId="77777777" w:rsidR="008D07F4" w:rsidRPr="008D07F4" w:rsidRDefault="008D07F4" w:rsidP="008D07F4">
            <w:pPr>
              <w:rPr>
                <w:rFonts w:cs="Arial"/>
                <w:highlight w:val="yellow"/>
              </w:rPr>
            </w:pPr>
          </w:p>
          <w:p w14:paraId="7EA57430" w14:textId="77777777" w:rsidR="008D07F4" w:rsidRPr="008D07F4" w:rsidRDefault="008D07F4" w:rsidP="008D07F4">
            <w:pPr>
              <w:rPr>
                <w:rFonts w:cs="Arial"/>
              </w:rPr>
            </w:pPr>
            <w:r w:rsidRPr="008D07F4">
              <w:rPr>
                <w:rFonts w:cs="Arial"/>
              </w:rPr>
              <w:t>In 2024, Government established the Cambridge Growth Company to help maximise Cambridge’s economic potential and deliver nationally significant growth. The Greater Cambridge Development Corporation was established by the government on 23 July 2026. It is a statutory delivery body set up as a new local-national partnership, to unlock the long-term sustainable economic future of Greater Cambridge.</w:t>
            </w:r>
          </w:p>
          <w:p w14:paraId="2C6741B6" w14:textId="77777777" w:rsidR="008D07F4" w:rsidRPr="008D07F4" w:rsidRDefault="008D07F4" w:rsidP="008D07F4">
            <w:pPr>
              <w:rPr>
                <w:rFonts w:cs="Arial"/>
              </w:rPr>
            </w:pPr>
          </w:p>
          <w:p w14:paraId="1050A8BB" w14:textId="77777777" w:rsidR="008D07F4" w:rsidRPr="008D07F4" w:rsidRDefault="008D07F4" w:rsidP="008D07F4">
            <w:pPr>
              <w:rPr>
                <w:rFonts w:cs="Arial"/>
                <w:highlight w:val="yellow"/>
              </w:rPr>
            </w:pPr>
            <w:r w:rsidRPr="008D07F4">
              <w:rPr>
                <w:rFonts w:cs="Arial"/>
              </w:rPr>
              <w:t>Building on the foundations laid by the Cambridge Growth Company, the Development Corporation marks the next phase of the government's commitment to achieving nationally significant economic growth through infrastructure-led development.</w:t>
            </w:r>
          </w:p>
          <w:p w14:paraId="0165B799" w14:textId="77777777" w:rsidR="008D07F4" w:rsidRPr="008D07F4" w:rsidRDefault="008D07F4" w:rsidP="008D07F4">
            <w:pPr>
              <w:rPr>
                <w:rFonts w:cs="Arial"/>
                <w:highlight w:val="yellow"/>
              </w:rPr>
            </w:pPr>
          </w:p>
          <w:p w14:paraId="36411BC2" w14:textId="77777777" w:rsidR="008D07F4" w:rsidRPr="008D07F4" w:rsidRDefault="008D07F4" w:rsidP="008D07F4">
            <w:pPr>
              <w:rPr>
                <w:rFonts w:cs="Arial"/>
              </w:rPr>
            </w:pPr>
            <w:r w:rsidRPr="008D07F4">
              <w:rPr>
                <w:rFonts w:cs="Arial"/>
              </w:rPr>
              <w:t xml:space="preserve">In addition, there are also several planned and proposed infrastructure projects that should inform how the housing target should be adjusted. These include East West Rail, the Cambourne to Cambridge Busway, the Cambridge South East Transport project, the Waterbeach to Cambridge Busway, Cambridge Eastern Access, and Cambridge South Station. In addition, the Greater Cambridge Partnership is progressing a network of greenways to improve active travel connections between surrounding villages and Cambridge. There is also a need to take on board the development pressures generated by recently provided major infrastructure, in particular, the recent opening of the Cambridge South Railway Station. </w:t>
            </w:r>
          </w:p>
          <w:p w14:paraId="7AD2BDA3" w14:textId="77777777" w:rsidR="008D07F4" w:rsidRPr="008D07F4" w:rsidRDefault="008D07F4" w:rsidP="008D07F4">
            <w:pPr>
              <w:rPr>
                <w:rFonts w:cs="Arial"/>
                <w:highlight w:val="yellow"/>
              </w:rPr>
            </w:pPr>
          </w:p>
          <w:p w14:paraId="01C20B8F" w14:textId="77777777" w:rsidR="008D07F4" w:rsidRPr="008D07F4" w:rsidRDefault="008D07F4" w:rsidP="008D07F4">
            <w:pPr>
              <w:rPr>
                <w:rFonts w:cs="Arial"/>
              </w:rPr>
            </w:pPr>
            <w:r w:rsidRPr="008D07F4">
              <w:rPr>
                <w:rFonts w:cs="Arial"/>
              </w:rPr>
              <w:t>Finally, the Iceni Housing Needs of Specific Groups in Cambridge and South Cambridgeshire Report (August 2025) provides an assessment of the housing requirements of various groups, including the need for affordable housing. Chapter 7 focuses specifically on affordable housing need and identifies a significant shortfall across Greater Cambridge.</w:t>
            </w:r>
          </w:p>
          <w:p w14:paraId="0C420B73" w14:textId="77777777" w:rsidR="008D07F4" w:rsidRPr="008D07F4" w:rsidRDefault="008D07F4" w:rsidP="008D07F4">
            <w:pPr>
              <w:rPr>
                <w:rFonts w:cs="Arial"/>
                <w:highlight w:val="yellow"/>
              </w:rPr>
            </w:pPr>
          </w:p>
          <w:p w14:paraId="5CBDEB7B" w14:textId="77777777" w:rsidR="008D07F4" w:rsidRPr="008D07F4" w:rsidRDefault="008D07F4" w:rsidP="008D07F4">
            <w:pPr>
              <w:rPr>
                <w:rFonts w:cs="Arial"/>
              </w:rPr>
            </w:pPr>
            <w:r w:rsidRPr="008D07F4">
              <w:rPr>
                <w:rFonts w:cs="Arial"/>
              </w:rPr>
              <w:t>The Report estimates that 1,083 affordable homes are needed each year for households unable to buy or rent on the open market across Greater Cambridge, excluding those who can afford to rent but not buy (Paragraph 7.62). It also presents an alternative scenario that removes households who are already housed from the calculation. Under this approach, the annual requirement would be 425 affordable homes in Cambridge and 318 in South Cambridgeshire (Paragraph 7.63), giving a combined figure of 743 affordable homes per year.</w:t>
            </w:r>
          </w:p>
          <w:p w14:paraId="7CFFC10F" w14:textId="77777777" w:rsidR="008D07F4" w:rsidRPr="008D07F4" w:rsidRDefault="008D07F4" w:rsidP="008D07F4">
            <w:pPr>
              <w:rPr>
                <w:rFonts w:cs="Arial"/>
              </w:rPr>
            </w:pPr>
          </w:p>
          <w:p w14:paraId="7A9E693C" w14:textId="77777777" w:rsidR="008D07F4" w:rsidRPr="008D07F4" w:rsidRDefault="008D07F4" w:rsidP="008D07F4">
            <w:pPr>
              <w:rPr>
                <w:rFonts w:cs="Arial"/>
              </w:rPr>
            </w:pPr>
            <w:r w:rsidRPr="008D07F4">
              <w:rPr>
                <w:rFonts w:cs="Arial"/>
              </w:rPr>
              <w:lastRenderedPageBreak/>
              <w:t>The Report acknowledges the complexity of assessing affordable housing needs, including the fact that needs change over time, and therefore advises that these annual figures should not be multiplied to produce a total for the entire plan period. Nevertheless, the Report concludes that no adjustment to the draft GCLP housing target is required to address affordable housing need. This conclusion is not justified in our opinion, particularly given that affordable housing delivery within Greater Cambridge is likely to be adversely impacted by the likely lower percentage of affordable housing provision likely to be achievable at many of its major allocation sites due to the high cost of necessary infrastructure provision needed, which will adversely affect viability.</w:t>
            </w:r>
          </w:p>
          <w:p w14:paraId="2A382EB1" w14:textId="77777777" w:rsidR="008D07F4" w:rsidRPr="008D07F4" w:rsidRDefault="008D07F4" w:rsidP="008D07F4">
            <w:pPr>
              <w:rPr>
                <w:rFonts w:cs="Arial"/>
              </w:rPr>
            </w:pPr>
          </w:p>
          <w:p w14:paraId="4863F492" w14:textId="77777777" w:rsidR="008D07F4" w:rsidRDefault="008D07F4" w:rsidP="008D07F4">
            <w:pPr>
              <w:rPr>
                <w:rFonts w:cs="Arial"/>
              </w:rPr>
            </w:pPr>
            <w:r w:rsidRPr="008D07F4">
              <w:rPr>
                <w:rFonts w:cs="Arial"/>
              </w:rPr>
              <w:t>Annual monitoring data shows that affordable housing delivery in Greater Cambridge fluctuates but averages around 500 affordable homes per year—below both of the identified needs (743 and 1,083 homes respectively). Furthermore, several existing strategic sites have been unable to deliver policy-compliant levels of affordable housing due to the substantial infrastructure costs they must accommodate. This includes Northstowe and Waterbeach new settlements. It is likely that the same viability challenges will arise at the proposed strategic sites at North Cambourne and Grange Farm.</w:t>
            </w:r>
          </w:p>
          <w:p w14:paraId="0C49DEB3" w14:textId="77777777" w:rsidR="00263E19" w:rsidRPr="008D07F4" w:rsidRDefault="00263E19" w:rsidP="008D07F4">
            <w:pPr>
              <w:rPr>
                <w:rFonts w:cs="Arial"/>
              </w:rPr>
            </w:pPr>
          </w:p>
          <w:p w14:paraId="3DAA6EB0" w14:textId="77777777" w:rsidR="008D07F4" w:rsidRPr="008D07F4" w:rsidRDefault="008D07F4" w:rsidP="008D07F4">
            <w:pPr>
              <w:rPr>
                <w:rFonts w:cs="Arial"/>
              </w:rPr>
            </w:pPr>
            <w:r w:rsidRPr="008D07F4">
              <w:rPr>
                <w:rFonts w:cs="Arial"/>
              </w:rPr>
              <w:t>If Greater Cambridge is to meet its affordable housing needs, the draft GCLP must include a higher overall housing requirement and identify additional allocations to compensate for the affordable housing shortfall from both existing and proposed strategic sites. It is therefore considered that the housing requirement in Policy S/JH should be increased to include an upward adjustment specifically to address affordable housing needs and additional allocation on the edge of Linton be provided.</w:t>
            </w:r>
          </w:p>
          <w:p w14:paraId="4E65341F" w14:textId="77777777" w:rsidR="008D07F4" w:rsidRPr="008D07F4" w:rsidRDefault="008D07F4" w:rsidP="008D07F4">
            <w:pPr>
              <w:rPr>
                <w:rFonts w:cs="Arial"/>
              </w:rPr>
            </w:pPr>
          </w:p>
          <w:p w14:paraId="74DC4356" w14:textId="6F26C57F" w:rsidR="00483DA4" w:rsidRPr="008D07F4" w:rsidRDefault="008D07F4" w:rsidP="0051199E">
            <w:pPr>
              <w:rPr>
                <w:rFonts w:eastAsia="Times New Roman" w:cs="Arial"/>
                <w:color w:val="000000" w:themeColor="text1"/>
                <w:kern w:val="0"/>
                <w:lang w:eastAsia="en-GB"/>
                <w14:ligatures w14:val="none"/>
              </w:rPr>
            </w:pPr>
            <w:r w:rsidRPr="008D07F4">
              <w:rPr>
                <w:rFonts w:cs="Arial"/>
              </w:rPr>
              <w:t>The 2025 Strategy Topic Paper highlights the importance of flexibility and reducing reliance on large strategic sites. Deliverable, sustainable village-edge sites such as Land North of Cambridge Road, Linton can support early housing delivery and help meet the revised requirement.</w:t>
            </w:r>
          </w:p>
          <w:p w14:paraId="2434F4E5" w14:textId="77777777" w:rsidR="00BC4E53" w:rsidRPr="008D07F4" w:rsidRDefault="00BC4E53" w:rsidP="0051199E">
            <w:pPr>
              <w:rPr>
                <w:rFonts w:eastAsia="Times New Roman" w:cs="Arial"/>
                <w:color w:val="000000" w:themeColor="text1"/>
                <w:kern w:val="0"/>
                <w:lang w:eastAsia="en-GB"/>
                <w14:ligatures w14:val="none"/>
              </w:rPr>
            </w:pPr>
          </w:p>
          <w:p w14:paraId="0806143C" w14:textId="77777777" w:rsidR="00BC4E53" w:rsidRPr="008D07F4" w:rsidRDefault="00BC4E53" w:rsidP="0051199E">
            <w:pPr>
              <w:rPr>
                <w:rFonts w:eastAsia="Times New Roman" w:cs="Arial"/>
                <w:color w:val="000000" w:themeColor="text1"/>
                <w:kern w:val="0"/>
                <w:lang w:eastAsia="en-GB"/>
                <w14:ligatures w14:val="none"/>
              </w:rPr>
            </w:pPr>
          </w:p>
          <w:p w14:paraId="7B47FF54" w14:textId="77777777" w:rsidR="00BC4E53" w:rsidRPr="008D07F4" w:rsidRDefault="00BC4E53" w:rsidP="0051199E">
            <w:pPr>
              <w:rPr>
                <w:rFonts w:eastAsia="Times New Roman" w:cs="Arial"/>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74D2AD80" w14:textId="55EE22C0" w:rsidR="00BC4E53" w:rsidRDefault="00C81F5F">
            <w:pPr>
              <w:rPr>
                <w:rFonts w:eastAsia="Times New Roman" w:cstheme="minorHAnsi"/>
                <w:b/>
                <w:color w:val="000000" w:themeColor="text1"/>
                <w:kern w:val="0"/>
                <w:lang w:eastAsia="en-GB"/>
                <w14:ligatures w14:val="none"/>
              </w:rPr>
            </w:pPr>
            <w:r w:rsidRPr="00C81F5F">
              <w:rPr>
                <w:rFonts w:eastAsia="Times New Roman" w:cstheme="minorHAnsi"/>
                <w:color w:val="000000" w:themeColor="text1"/>
                <w:kern w:val="0"/>
                <w:lang w:eastAsia="en-GB"/>
                <w14:ligatures w14:val="none"/>
              </w:rPr>
              <w:t>Bloor strongly believes that the housing target in Policy S/JH should be reassessed, with an upward adjustment applied to ensure that the Local Plan is sound and meets its duty to support economic growth ambitions, planned infrastructure investment and affordable housing provision within villages.</w:t>
            </w:r>
          </w:p>
          <w:p w14:paraId="1298B886" w14:textId="77777777" w:rsidR="00BC4E53" w:rsidRDefault="00BC4E53">
            <w:pPr>
              <w:rPr>
                <w:rFonts w:eastAsia="Times New Roman" w:cstheme="minorHAnsi"/>
                <w:b/>
                <w:color w:val="000000" w:themeColor="text1"/>
                <w:kern w:val="0"/>
                <w:lang w:eastAsia="en-GB"/>
                <w14:ligatures w14:val="none"/>
              </w:rPr>
            </w:pP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1619586D" w14:textId="77777777" w:rsidR="008D07F4" w:rsidRDefault="008D07F4">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Pr="00263E19" w:rsidRDefault="00375D0B" w:rsidP="0051199E">
            <w:pPr>
              <w:rPr>
                <w:rFonts w:eastAsia="Times New Roman" w:cstheme="minorHAnsi"/>
                <w:color w:val="000000" w:themeColor="text1"/>
                <w:kern w:val="0"/>
                <w:lang w:eastAsia="en-GB"/>
                <w14:ligatures w14:val="none"/>
              </w:rPr>
            </w:pPr>
          </w:p>
          <w:p w14:paraId="3D379642" w14:textId="77777777" w:rsidR="00263E19" w:rsidRPr="00263E19" w:rsidRDefault="00263E19" w:rsidP="00263E19">
            <w:pPr>
              <w:rPr>
                <w:rFonts w:cs="Arial"/>
                <w:b/>
                <w:bCs/>
              </w:rPr>
            </w:pPr>
            <w:r w:rsidRPr="00263E19">
              <w:rPr>
                <w:rFonts w:cs="Arial"/>
                <w:b/>
                <w:bCs/>
              </w:rPr>
              <w:t>Proposed Amendments</w:t>
            </w:r>
          </w:p>
          <w:p w14:paraId="188C2E1B" w14:textId="77777777" w:rsidR="00263E19" w:rsidRPr="00263E19" w:rsidRDefault="00263E19" w:rsidP="00263E19">
            <w:pPr>
              <w:rPr>
                <w:rFonts w:cs="Arial"/>
                <w:highlight w:val="yellow"/>
              </w:rPr>
            </w:pPr>
          </w:p>
          <w:p w14:paraId="54D18A43" w14:textId="77777777" w:rsidR="00263E19" w:rsidRPr="00263E19" w:rsidRDefault="00263E19" w:rsidP="00263E19">
            <w:pPr>
              <w:rPr>
                <w:rFonts w:cs="Arial"/>
              </w:rPr>
            </w:pPr>
            <w:r w:rsidRPr="00263E19">
              <w:rPr>
                <w:rFonts w:cs="Arial"/>
              </w:rPr>
              <w:t>Bloor considers that Policy S/JH should be amended so that:</w:t>
            </w:r>
          </w:p>
          <w:p w14:paraId="05B21EFC" w14:textId="77777777" w:rsidR="00263E19" w:rsidRPr="00263E19" w:rsidRDefault="00263E19" w:rsidP="00263E19">
            <w:pPr>
              <w:rPr>
                <w:rFonts w:cs="Arial"/>
              </w:rPr>
            </w:pPr>
          </w:p>
          <w:p w14:paraId="1D5B5994" w14:textId="77777777" w:rsidR="00263E19" w:rsidRDefault="00263E19" w:rsidP="00263E19">
            <w:pPr>
              <w:pStyle w:val="ListParagraph"/>
              <w:numPr>
                <w:ilvl w:val="0"/>
                <w:numId w:val="6"/>
              </w:numPr>
              <w:rPr>
                <w:rFonts w:cs="Arial"/>
                <w:b/>
                <w:bCs/>
              </w:rPr>
            </w:pPr>
            <w:r w:rsidRPr="00263E19">
              <w:rPr>
                <w:rFonts w:cs="Arial"/>
                <w:b/>
                <w:bCs/>
              </w:rPr>
              <w:t>the relationship between the employment forecast, housing requirement, labour-force growth and commuting patterns is reassessed;</w:t>
            </w:r>
          </w:p>
          <w:p w14:paraId="335CB4B9" w14:textId="77777777" w:rsidR="00263E19" w:rsidRPr="00263E19" w:rsidRDefault="00263E19" w:rsidP="00263E19">
            <w:pPr>
              <w:pStyle w:val="ListParagraph"/>
              <w:rPr>
                <w:rFonts w:cs="Arial"/>
                <w:b/>
                <w:bCs/>
              </w:rPr>
            </w:pPr>
          </w:p>
          <w:p w14:paraId="548846CD" w14:textId="77777777" w:rsidR="00263E19" w:rsidRDefault="00263E19" w:rsidP="00263E19">
            <w:pPr>
              <w:pStyle w:val="ListParagraph"/>
              <w:numPr>
                <w:ilvl w:val="0"/>
                <w:numId w:val="6"/>
              </w:numPr>
              <w:rPr>
                <w:rFonts w:cs="Arial"/>
                <w:b/>
                <w:bCs/>
              </w:rPr>
            </w:pPr>
            <w:r w:rsidRPr="00263E19">
              <w:rPr>
                <w:rFonts w:cs="Arial"/>
                <w:b/>
                <w:bCs/>
              </w:rPr>
              <w:t>the Council provides clear evidence demonstrating why an appropriate commuting adjustment is not required, or applies such an adjustment where the evidence supports it;</w:t>
            </w:r>
          </w:p>
          <w:p w14:paraId="76A01B89" w14:textId="77777777" w:rsidR="00263E19" w:rsidRPr="00263E19" w:rsidRDefault="00263E19" w:rsidP="00263E19">
            <w:pPr>
              <w:pStyle w:val="ListParagraph"/>
              <w:rPr>
                <w:rFonts w:cs="Arial"/>
                <w:b/>
                <w:bCs/>
              </w:rPr>
            </w:pPr>
          </w:p>
          <w:p w14:paraId="0B10FD9E" w14:textId="77777777" w:rsidR="00263E19" w:rsidRDefault="00263E19" w:rsidP="00263E19">
            <w:pPr>
              <w:pStyle w:val="ListParagraph"/>
              <w:numPr>
                <w:ilvl w:val="0"/>
                <w:numId w:val="6"/>
              </w:numPr>
              <w:rPr>
                <w:rFonts w:cs="Arial"/>
                <w:b/>
                <w:bCs/>
              </w:rPr>
            </w:pPr>
            <w:r w:rsidRPr="00263E19">
              <w:rPr>
                <w:rFonts w:cs="Arial"/>
                <w:b/>
                <w:bCs/>
              </w:rPr>
              <w:t>the housing requirement is reviewed in light of economic growth ambitions and infrastructure investment;</w:t>
            </w:r>
          </w:p>
          <w:p w14:paraId="0B7FB6C2" w14:textId="77777777" w:rsidR="00263E19" w:rsidRPr="00263E19" w:rsidRDefault="00263E19" w:rsidP="00263E19">
            <w:pPr>
              <w:pStyle w:val="ListParagraph"/>
              <w:rPr>
                <w:rFonts w:cs="Arial"/>
                <w:b/>
                <w:bCs/>
              </w:rPr>
            </w:pPr>
          </w:p>
          <w:p w14:paraId="25DE5364" w14:textId="77777777" w:rsidR="00263E19" w:rsidRDefault="00263E19" w:rsidP="00263E19">
            <w:pPr>
              <w:pStyle w:val="ListParagraph"/>
              <w:numPr>
                <w:ilvl w:val="0"/>
                <w:numId w:val="6"/>
              </w:numPr>
              <w:rPr>
                <w:rFonts w:cs="Arial"/>
                <w:b/>
                <w:bCs/>
              </w:rPr>
            </w:pPr>
            <w:r w:rsidRPr="00263E19">
              <w:rPr>
                <w:rFonts w:cs="Arial"/>
                <w:b/>
                <w:bCs/>
              </w:rPr>
              <w:t>the implications of affordable housing need and the deliverability of affordable housing from the proposed site allocations are properly reflected; and</w:t>
            </w:r>
          </w:p>
          <w:p w14:paraId="0AC71A02" w14:textId="77777777" w:rsidR="00263E19" w:rsidRPr="00263E19" w:rsidRDefault="00263E19" w:rsidP="00263E19">
            <w:pPr>
              <w:pStyle w:val="ListParagraph"/>
              <w:rPr>
                <w:rFonts w:cs="Arial"/>
                <w:b/>
                <w:bCs/>
              </w:rPr>
            </w:pPr>
          </w:p>
          <w:p w14:paraId="5D31F79F" w14:textId="77777777" w:rsidR="00263E19" w:rsidRPr="00263E19" w:rsidRDefault="00263E19" w:rsidP="00263E19">
            <w:pPr>
              <w:pStyle w:val="ListParagraph"/>
              <w:numPr>
                <w:ilvl w:val="0"/>
                <w:numId w:val="6"/>
              </w:numPr>
              <w:rPr>
                <w:rFonts w:cs="Arial"/>
                <w:b/>
                <w:bCs/>
              </w:rPr>
            </w:pPr>
            <w:r w:rsidRPr="00263E19">
              <w:rPr>
                <w:rFonts w:cs="Arial"/>
                <w:b/>
                <w:bCs/>
              </w:rPr>
              <w:t>additional sustainable and deliverable sites, including Land North of Cambridge Road, Linton, are allocated to provide greater flexibility and resilience in housing delivery.</w:t>
            </w:r>
          </w:p>
          <w:p w14:paraId="7D25DF76" w14:textId="77777777" w:rsidR="00375D0B" w:rsidRPr="00263E19" w:rsidRDefault="00375D0B" w:rsidP="0051199E">
            <w:pPr>
              <w:rPr>
                <w:rFonts w:eastAsia="Times New Roman" w:cstheme="minorHAnsi"/>
                <w:color w:val="000000" w:themeColor="text1"/>
                <w:kern w:val="0"/>
                <w:lang w:eastAsia="en-GB"/>
                <w14:ligatures w14:val="none"/>
              </w:rPr>
            </w:pPr>
          </w:p>
          <w:p w14:paraId="7E0D68E1" w14:textId="77777777" w:rsidR="00375D0B" w:rsidRPr="00263E19"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3EF18E9C" w14:textId="77777777" w:rsidR="00263E19" w:rsidRDefault="002679D8" w:rsidP="00583EFC">
      <w:r>
        <w:rPr>
          <w:b/>
        </w:rPr>
        <w:lastRenderedPageBreak/>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0D1BCF7A" w14:textId="77777777" w:rsidR="00263E19" w:rsidRDefault="00263E19" w:rsidP="00583EFC"/>
    <w:p w14:paraId="58A5052D" w14:textId="53F8DBF9" w:rsidR="00583EFC" w:rsidRPr="001A2C43" w:rsidRDefault="00583EFC" w:rsidP="00583EFC">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6</w:t>
      </w:r>
      <w:r>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6899" w14:textId="77777777" w:rsidR="00214BBB" w:rsidRDefault="00214BBB" w:rsidP="00393AE9">
      <w:pPr>
        <w:spacing w:after="0" w:line="240" w:lineRule="auto"/>
      </w:pPr>
      <w:r>
        <w:separator/>
      </w:r>
    </w:p>
  </w:endnote>
  <w:endnote w:type="continuationSeparator" w:id="0">
    <w:p w14:paraId="42F75978" w14:textId="77777777" w:rsidR="00214BBB" w:rsidRDefault="00214BBB"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1352" w14:textId="77777777" w:rsidR="00214BBB" w:rsidRDefault="00214BBB" w:rsidP="00393AE9">
      <w:pPr>
        <w:spacing w:after="0" w:line="240" w:lineRule="auto"/>
      </w:pPr>
      <w:r>
        <w:separator/>
      </w:r>
    </w:p>
  </w:footnote>
  <w:footnote w:type="continuationSeparator" w:id="0">
    <w:p w14:paraId="08B28371" w14:textId="77777777" w:rsidR="00214BBB" w:rsidRDefault="00214BBB"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06329"/>
    <w:multiLevelType w:val="hybridMultilevel"/>
    <w:tmpl w:val="AFF6D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C40CEA"/>
    <w:multiLevelType w:val="hybridMultilevel"/>
    <w:tmpl w:val="ED603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5"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4"/>
  </w:num>
  <w:num w:numId="3" w16cid:durableId="1591692842">
    <w:abstractNumId w:val="5"/>
  </w:num>
  <w:num w:numId="4" w16cid:durableId="413668818">
    <w:abstractNumId w:val="2"/>
  </w:num>
  <w:num w:numId="5" w16cid:durableId="2081519248">
    <w:abstractNumId w:val="3"/>
  </w:num>
  <w:num w:numId="6" w16cid:durableId="1185948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F18D4"/>
    <w:rsid w:val="000F2BA6"/>
    <w:rsid w:val="000F7D7A"/>
    <w:rsid w:val="001031D3"/>
    <w:rsid w:val="00110736"/>
    <w:rsid w:val="0011280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14BBB"/>
    <w:rsid w:val="002251E0"/>
    <w:rsid w:val="00226186"/>
    <w:rsid w:val="0022751E"/>
    <w:rsid w:val="002638C5"/>
    <w:rsid w:val="00263E19"/>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E60AD"/>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7F4"/>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31529"/>
    <w:rsid w:val="00B3567D"/>
    <w:rsid w:val="00B478DC"/>
    <w:rsid w:val="00B56CFE"/>
    <w:rsid w:val="00B60CAB"/>
    <w:rsid w:val="00B61CAE"/>
    <w:rsid w:val="00B64B2A"/>
    <w:rsid w:val="00B66C72"/>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1F5F"/>
    <w:rsid w:val="00C853B6"/>
    <w:rsid w:val="00C92261"/>
    <w:rsid w:val="00C9262D"/>
    <w:rsid w:val="00C95288"/>
    <w:rsid w:val="00C97C95"/>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880"/>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3180</Words>
  <Characters>18288</Characters>
  <Application>Microsoft Office Word</Application>
  <DocSecurity>0</DocSecurity>
  <Lines>494</Lines>
  <Paragraphs>151</Paragraphs>
  <ScaleCrop>false</ScaleCrop>
  <Company/>
  <LinksUpToDate>false</LinksUpToDate>
  <CharactersWithSpaces>21317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4</cp:revision>
  <cp:lastPrinted>2026-09-28T12:23:00Z</cp:lastPrinted>
  <dcterms:created xsi:type="dcterms:W3CDTF">2026-09-28T14:00:00Z</dcterms:created>
  <dcterms:modified xsi:type="dcterms:W3CDTF">2026-09-28T14:14:00Z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