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F27B56" w14:textId="13419435" w:rsidR="00813AFA" w:rsidRPr="00AC5506" w:rsidRDefault="00AC5506">
      <w:pPr>
        <w:rPr>
          <w:rFonts w:ascii="Calibri" w:hAnsi="Calibri" w:cs="Calibri"/>
          <w:b/>
          <w:bCs/>
        </w:rPr>
      </w:pPr>
      <w:r w:rsidRPr="00AC5506">
        <w:rPr>
          <w:rFonts w:ascii="Calibri" w:hAnsi="Calibri" w:cs="Calibri"/>
          <w:b/>
          <w:bCs/>
        </w:rPr>
        <w:t>Great Wilbraham Parish Council Defined Development Extent – objection unsound because it will be ineffective.</w:t>
      </w:r>
    </w:p>
    <w:p w14:paraId="657E8675" w14:textId="77777777" w:rsidR="00AC5506" w:rsidRDefault="00AC5506"/>
    <w:p w14:paraId="42DB7B98" w14:textId="77777777" w:rsidR="00AC5506" w:rsidRPr="00F01F4F" w:rsidRDefault="00AC5506" w:rsidP="00AC5506">
      <w:pPr>
        <w:spacing w:line="276" w:lineRule="auto"/>
        <w:rPr>
          <w:rFonts w:ascii="Calibri" w:hAnsi="Calibri" w:cs="Calibri"/>
          <w:sz w:val="21"/>
          <w:szCs w:val="21"/>
        </w:rPr>
      </w:pPr>
      <w:r>
        <w:rPr>
          <w:rFonts w:ascii="Calibri" w:hAnsi="Calibri" w:cs="Calibri"/>
          <w:sz w:val="21"/>
          <w:szCs w:val="21"/>
        </w:rPr>
        <w:t>Great Wilbraham</w:t>
      </w:r>
      <w:r w:rsidRPr="00F01F4F">
        <w:rPr>
          <w:rFonts w:ascii="Calibri" w:hAnsi="Calibri" w:cs="Calibri"/>
          <w:sz w:val="21"/>
          <w:szCs w:val="21"/>
        </w:rPr>
        <w:t xml:space="preserve"> Parish Council also objects to the Defined Development Extent policy and the Green Belt, which together act to constrain building opportunities for a Group Village</w:t>
      </w:r>
      <w:r>
        <w:rPr>
          <w:rFonts w:ascii="Calibri" w:hAnsi="Calibri" w:cs="Calibri"/>
          <w:sz w:val="21"/>
          <w:szCs w:val="21"/>
        </w:rPr>
        <w:t>.</w:t>
      </w:r>
      <w:r w:rsidRPr="00F01F4F">
        <w:rPr>
          <w:rFonts w:ascii="Calibri" w:hAnsi="Calibri" w:cs="Calibri"/>
          <w:sz w:val="21"/>
          <w:szCs w:val="21"/>
        </w:rPr>
        <w:t xml:space="preserve"> </w:t>
      </w:r>
      <w:r>
        <w:rPr>
          <w:rFonts w:ascii="Calibri" w:hAnsi="Calibri" w:cs="Calibri"/>
          <w:sz w:val="21"/>
          <w:szCs w:val="21"/>
        </w:rPr>
        <w:t>E</w:t>
      </w:r>
      <w:r w:rsidRPr="00F01F4F">
        <w:rPr>
          <w:rFonts w:ascii="Calibri" w:hAnsi="Calibri" w:cs="Calibri"/>
          <w:sz w:val="21"/>
          <w:szCs w:val="21"/>
        </w:rPr>
        <w:t>ven though the Settlement Hierarchy policy potentially allows up to 8 houses on a windfall site</w:t>
      </w:r>
      <w:r>
        <w:rPr>
          <w:rFonts w:ascii="Calibri" w:hAnsi="Calibri" w:cs="Calibri"/>
          <w:sz w:val="21"/>
          <w:szCs w:val="21"/>
        </w:rPr>
        <w:t>, a</w:t>
      </w:r>
      <w:r w:rsidRPr="00F01F4F">
        <w:rPr>
          <w:rFonts w:ascii="Calibri" w:hAnsi="Calibri" w:cs="Calibri"/>
          <w:sz w:val="21"/>
          <w:szCs w:val="21"/>
        </w:rPr>
        <w:t>s in many other villages, in Great Wilbraham there are no sites available within the DE and Green Belt</w:t>
      </w:r>
      <w:r>
        <w:rPr>
          <w:rFonts w:ascii="Calibri" w:hAnsi="Calibri" w:cs="Calibri"/>
          <w:sz w:val="21"/>
          <w:szCs w:val="21"/>
        </w:rPr>
        <w:t xml:space="preserve"> which effectively means that this mechanism is non-viable</w:t>
      </w:r>
      <w:r w:rsidRPr="00F01F4F">
        <w:rPr>
          <w:rFonts w:ascii="Calibri" w:hAnsi="Calibri" w:cs="Calibri"/>
          <w:sz w:val="21"/>
          <w:szCs w:val="21"/>
        </w:rPr>
        <w:t xml:space="preserve">. </w:t>
      </w:r>
      <w:r>
        <w:rPr>
          <w:rFonts w:ascii="Calibri" w:hAnsi="Calibri" w:cs="Calibri"/>
          <w:sz w:val="21"/>
          <w:szCs w:val="21"/>
        </w:rPr>
        <w:t xml:space="preserve">This renders the Local Plan </w:t>
      </w:r>
      <w:r w:rsidRPr="00DD0E99">
        <w:rPr>
          <w:rFonts w:ascii="Calibri" w:hAnsi="Calibri" w:cs="Calibri"/>
          <w:b/>
          <w:bCs/>
          <w:sz w:val="21"/>
          <w:szCs w:val="21"/>
        </w:rPr>
        <w:t>ineffective</w:t>
      </w:r>
      <w:r>
        <w:rPr>
          <w:rFonts w:ascii="Calibri" w:hAnsi="Calibri" w:cs="Calibri"/>
          <w:sz w:val="21"/>
          <w:szCs w:val="21"/>
        </w:rPr>
        <w:t xml:space="preserve"> by denying Group Villages the small developments that might support sustainability.</w:t>
      </w:r>
    </w:p>
    <w:p w14:paraId="79215E71" w14:textId="77777777" w:rsidR="00AC5506" w:rsidRPr="00F01F4F" w:rsidRDefault="00AC5506" w:rsidP="00AC5506">
      <w:pPr>
        <w:spacing w:line="276" w:lineRule="auto"/>
        <w:rPr>
          <w:rFonts w:ascii="Calibri" w:hAnsi="Calibri" w:cs="Calibri"/>
          <w:sz w:val="21"/>
          <w:szCs w:val="21"/>
        </w:rPr>
      </w:pPr>
    </w:p>
    <w:p w14:paraId="1031084B" w14:textId="77777777" w:rsidR="00AC5506" w:rsidRPr="00F01F4F" w:rsidRDefault="00AC5506" w:rsidP="00AC5506">
      <w:pPr>
        <w:spacing w:line="276" w:lineRule="auto"/>
        <w:rPr>
          <w:rFonts w:ascii="Calibri" w:hAnsi="Calibri" w:cs="Calibri"/>
          <w:sz w:val="21"/>
          <w:szCs w:val="21"/>
        </w:rPr>
      </w:pPr>
      <w:r w:rsidRPr="00F01F4F">
        <w:rPr>
          <w:rFonts w:ascii="Calibri" w:hAnsi="Calibri" w:cs="Calibri"/>
          <w:sz w:val="21"/>
          <w:szCs w:val="21"/>
        </w:rPr>
        <w:t>Policy S/DE does provide an exception for allocations of land through a</w:t>
      </w:r>
      <w:r>
        <w:rPr>
          <w:rFonts w:ascii="Calibri" w:hAnsi="Calibri" w:cs="Calibri"/>
          <w:sz w:val="21"/>
          <w:szCs w:val="21"/>
        </w:rPr>
        <w:t xml:space="preserve"> made</w:t>
      </w:r>
      <w:r w:rsidRPr="00F01F4F">
        <w:rPr>
          <w:rFonts w:ascii="Calibri" w:hAnsi="Calibri" w:cs="Calibri"/>
          <w:sz w:val="21"/>
          <w:szCs w:val="21"/>
        </w:rPr>
        <w:t xml:space="preserve"> Neighbourhood Plan. The supporting text says that a local community making a Neighbourhood Plan may wish to make community-led allocations outside the DE. However, for a small parish such as Great Wilbraham, this creates a concern about proportionality.  A Parish Council and village of 600 people would find it very difficult to find the necessary substantial volunteer time, professional support and financial resources for such an exercise. Whilst we do not disagree with the Neighbourhood Plan as an optional way for communities to take wider control of their future</w:t>
      </w:r>
      <w:r>
        <w:rPr>
          <w:rFonts w:ascii="Calibri" w:hAnsi="Calibri" w:cs="Calibri"/>
          <w:sz w:val="21"/>
          <w:szCs w:val="21"/>
        </w:rPr>
        <w:t>,</w:t>
      </w:r>
      <w:r w:rsidRPr="00F01F4F">
        <w:rPr>
          <w:rFonts w:ascii="Calibri" w:hAnsi="Calibri" w:cs="Calibri"/>
          <w:sz w:val="21"/>
          <w:szCs w:val="21"/>
        </w:rPr>
        <w:t xml:space="preserve"> the Local Plan should provide a more proportionate route for modest edge of village development where a clear community need is demonstrated without making a </w:t>
      </w:r>
      <w:r>
        <w:rPr>
          <w:rFonts w:ascii="Calibri" w:hAnsi="Calibri" w:cs="Calibri"/>
          <w:sz w:val="21"/>
          <w:szCs w:val="21"/>
        </w:rPr>
        <w:t>N</w:t>
      </w:r>
      <w:r w:rsidRPr="00F01F4F">
        <w:rPr>
          <w:rFonts w:ascii="Calibri" w:hAnsi="Calibri" w:cs="Calibri"/>
          <w:sz w:val="21"/>
          <w:szCs w:val="21"/>
        </w:rPr>
        <w:t>eighbourhood Plan a pre-requisite.</w:t>
      </w:r>
    </w:p>
    <w:p w14:paraId="4417E6A9" w14:textId="77777777" w:rsidR="00AC5506" w:rsidRPr="00F01F4F" w:rsidRDefault="00AC5506" w:rsidP="00AC5506">
      <w:pPr>
        <w:spacing w:line="276" w:lineRule="auto"/>
        <w:rPr>
          <w:rFonts w:ascii="Calibri" w:hAnsi="Calibri" w:cs="Calibri"/>
          <w:sz w:val="21"/>
          <w:szCs w:val="21"/>
        </w:rPr>
      </w:pPr>
    </w:p>
    <w:p w14:paraId="63F8AAD3" w14:textId="77777777" w:rsidR="00AC5506" w:rsidRPr="00F01F4F" w:rsidRDefault="00AC5506" w:rsidP="00AC5506">
      <w:pPr>
        <w:spacing w:line="276" w:lineRule="auto"/>
        <w:rPr>
          <w:rFonts w:ascii="Calibri" w:hAnsi="Calibri" w:cs="Calibri"/>
          <w:b/>
          <w:bCs/>
          <w:sz w:val="21"/>
          <w:szCs w:val="21"/>
        </w:rPr>
      </w:pPr>
      <w:r w:rsidRPr="00F01F4F">
        <w:rPr>
          <w:rFonts w:ascii="Calibri" w:hAnsi="Calibri" w:cs="Calibri"/>
          <w:b/>
          <w:bCs/>
          <w:sz w:val="21"/>
          <w:szCs w:val="21"/>
        </w:rPr>
        <w:t>Thus, the DE and Green Belt policies will render the Local Plan ineffective in its objectives because the Settlement Hierarchy policies on small developments for many Group Villages aimed at maintaining sustainability cannot be delivered due to constraints of Development Extent, Green Belt and the onerous mechanisms for exception allocations.</w:t>
      </w:r>
    </w:p>
    <w:p w14:paraId="1055B3B2" w14:textId="77777777" w:rsidR="00AC5506" w:rsidRDefault="00AC5506"/>
    <w:sectPr w:rsidR="00AC55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506"/>
    <w:rsid w:val="0037774E"/>
    <w:rsid w:val="006068C4"/>
    <w:rsid w:val="006D76FC"/>
    <w:rsid w:val="006E55F9"/>
    <w:rsid w:val="00813AFA"/>
    <w:rsid w:val="009A45BE"/>
    <w:rsid w:val="00A64A0F"/>
    <w:rsid w:val="00AC5506"/>
    <w:rsid w:val="00CD3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FB7179"/>
  <w15:chartTrackingRefBased/>
  <w15:docId w15:val="{1A895DCA-DB6B-E348-81E7-F5B6C36C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506"/>
  </w:style>
  <w:style w:type="paragraph" w:styleId="Heading1">
    <w:name w:val="heading 1"/>
    <w:basedOn w:val="Normal"/>
    <w:next w:val="Normal"/>
    <w:link w:val="Heading1Char"/>
    <w:uiPriority w:val="9"/>
    <w:qFormat/>
    <w:rsid w:val="00AC5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5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5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55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55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5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5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5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5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5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5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5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5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5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5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5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506"/>
    <w:rPr>
      <w:rFonts w:eastAsiaTheme="majorEastAsia" w:cstheme="majorBidi"/>
      <w:color w:val="272727" w:themeColor="text1" w:themeTint="D8"/>
    </w:rPr>
  </w:style>
  <w:style w:type="paragraph" w:styleId="Title">
    <w:name w:val="Title"/>
    <w:basedOn w:val="Normal"/>
    <w:next w:val="Normal"/>
    <w:link w:val="TitleChar"/>
    <w:uiPriority w:val="10"/>
    <w:qFormat/>
    <w:rsid w:val="00AC55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5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5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5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5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5506"/>
    <w:rPr>
      <w:i/>
      <w:iCs/>
      <w:color w:val="404040" w:themeColor="text1" w:themeTint="BF"/>
    </w:rPr>
  </w:style>
  <w:style w:type="paragraph" w:styleId="ListParagraph">
    <w:name w:val="List Paragraph"/>
    <w:basedOn w:val="Normal"/>
    <w:uiPriority w:val="34"/>
    <w:qFormat/>
    <w:rsid w:val="00AC5506"/>
    <w:pPr>
      <w:ind w:left="720"/>
      <w:contextualSpacing/>
    </w:pPr>
  </w:style>
  <w:style w:type="character" w:styleId="IntenseEmphasis">
    <w:name w:val="Intense Emphasis"/>
    <w:basedOn w:val="DefaultParagraphFont"/>
    <w:uiPriority w:val="21"/>
    <w:qFormat/>
    <w:rsid w:val="00AC5506"/>
    <w:rPr>
      <w:i/>
      <w:iCs/>
      <w:color w:val="0F4761" w:themeColor="accent1" w:themeShade="BF"/>
    </w:rPr>
  </w:style>
  <w:style w:type="paragraph" w:styleId="IntenseQuote">
    <w:name w:val="Intense Quote"/>
    <w:basedOn w:val="Normal"/>
    <w:next w:val="Normal"/>
    <w:link w:val="IntenseQuoteChar"/>
    <w:uiPriority w:val="30"/>
    <w:qFormat/>
    <w:rsid w:val="00AC5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506"/>
    <w:rPr>
      <w:i/>
      <w:iCs/>
      <w:color w:val="0F4761" w:themeColor="accent1" w:themeShade="BF"/>
    </w:rPr>
  </w:style>
  <w:style w:type="character" w:styleId="IntenseReference">
    <w:name w:val="Intense Reference"/>
    <w:basedOn w:val="DefaultParagraphFont"/>
    <w:uiPriority w:val="32"/>
    <w:qFormat/>
    <w:rsid w:val="00AC55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Burton</dc:creator>
  <cp:keywords/>
  <dc:description/>
  <cp:lastModifiedBy>H. Burton</cp:lastModifiedBy>
  <cp:revision>1</cp:revision>
  <dcterms:created xsi:type="dcterms:W3CDTF">2026-09-23T11:49:00Z</dcterms:created>
  <dcterms:modified xsi:type="dcterms:W3CDTF">2026-09-23T11:51:00Z</dcterms:modified>
</cp:coreProperties>
</file>