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62B2B7" w14:textId="085193A1" w:rsidR="00813AFA" w:rsidRPr="00596D64" w:rsidRDefault="00596D64">
      <w:pPr>
        <w:rPr>
          <w:rFonts w:ascii="Calibri" w:hAnsi="Calibri" w:cs="Calibri"/>
          <w:b/>
          <w:bCs/>
        </w:rPr>
      </w:pPr>
      <w:r w:rsidRPr="00596D64">
        <w:rPr>
          <w:rFonts w:ascii="Calibri" w:hAnsi="Calibri" w:cs="Calibri"/>
          <w:b/>
          <w:bCs/>
        </w:rPr>
        <w:t>Great Wilbraham Parish Council comment on Local Plan: Settlement Hierarch. (Unsound – not justified or effective)</w:t>
      </w:r>
    </w:p>
    <w:p w14:paraId="35441864" w14:textId="77777777" w:rsidR="00596D64" w:rsidRDefault="00596D64"/>
    <w:p w14:paraId="4C423F72" w14:textId="4BDF302D" w:rsidR="00596D64" w:rsidRPr="00F01F4F" w:rsidRDefault="00596D64" w:rsidP="00596D64">
      <w:pPr>
        <w:spacing w:line="276" w:lineRule="auto"/>
        <w:rPr>
          <w:rFonts w:ascii="Calibri" w:hAnsi="Calibri" w:cs="Calibri"/>
          <w:sz w:val="21"/>
          <w:szCs w:val="21"/>
        </w:rPr>
      </w:pPr>
      <w:r w:rsidRPr="00F01F4F">
        <w:rPr>
          <w:rFonts w:ascii="Calibri" w:hAnsi="Calibri" w:cs="Calibri"/>
          <w:sz w:val="21"/>
          <w:szCs w:val="21"/>
        </w:rPr>
        <w:t xml:space="preserve">We use the example of our village, Great Wilbraham to show that the </w:t>
      </w:r>
      <w:r>
        <w:rPr>
          <w:rFonts w:ascii="Calibri" w:hAnsi="Calibri" w:cs="Calibri"/>
          <w:sz w:val="21"/>
          <w:szCs w:val="21"/>
        </w:rPr>
        <w:t>S</w:t>
      </w:r>
      <w:r w:rsidRPr="00F01F4F">
        <w:rPr>
          <w:rFonts w:ascii="Calibri" w:hAnsi="Calibri" w:cs="Calibri"/>
          <w:sz w:val="21"/>
          <w:szCs w:val="21"/>
        </w:rPr>
        <w:t xml:space="preserve">ettlement </w:t>
      </w:r>
      <w:r>
        <w:rPr>
          <w:rFonts w:ascii="Calibri" w:hAnsi="Calibri" w:cs="Calibri"/>
          <w:sz w:val="21"/>
          <w:szCs w:val="21"/>
        </w:rPr>
        <w:t>H</w:t>
      </w:r>
      <w:r w:rsidRPr="00F01F4F">
        <w:rPr>
          <w:rFonts w:ascii="Calibri" w:hAnsi="Calibri" w:cs="Calibri"/>
          <w:sz w:val="21"/>
          <w:szCs w:val="21"/>
        </w:rPr>
        <w:t>ierarchy stipulations</w:t>
      </w:r>
      <w:r>
        <w:rPr>
          <w:rFonts w:ascii="Calibri" w:hAnsi="Calibri" w:cs="Calibri"/>
          <w:sz w:val="21"/>
          <w:szCs w:val="21"/>
        </w:rPr>
        <w:t>,</w:t>
      </w:r>
      <w:r w:rsidRPr="00F01F4F">
        <w:rPr>
          <w:rFonts w:ascii="Calibri" w:hAnsi="Calibri" w:cs="Calibri"/>
          <w:sz w:val="21"/>
          <w:szCs w:val="21"/>
        </w:rPr>
        <w:t xml:space="preserve"> together with the restrictions of development through the Defined Development Extent and the Green Belt</w:t>
      </w:r>
      <w:r>
        <w:rPr>
          <w:rFonts w:ascii="Calibri" w:hAnsi="Calibri" w:cs="Calibri"/>
          <w:sz w:val="21"/>
          <w:szCs w:val="21"/>
        </w:rPr>
        <w:t>,</w:t>
      </w:r>
      <w:r w:rsidRPr="00F01F4F">
        <w:rPr>
          <w:rFonts w:ascii="Calibri" w:hAnsi="Calibri" w:cs="Calibri"/>
          <w:sz w:val="21"/>
          <w:szCs w:val="21"/>
        </w:rPr>
        <w:t xml:space="preserve"> make it unlikely that even the current sustainability of the village can be maintained.  With some 62K (or 28%) of the South Cambridgeshire population living in Group or Infill villages, we argue that, without a greater level of flexibility for development many of these currently strong rural villages will go into decline, with loss of local services and social support – and thus of their distinctive communities and character. This </w:t>
      </w:r>
      <w:r>
        <w:rPr>
          <w:rFonts w:ascii="Calibri" w:hAnsi="Calibri" w:cs="Calibri"/>
          <w:sz w:val="21"/>
          <w:szCs w:val="21"/>
        </w:rPr>
        <w:t xml:space="preserve">is counter to the sustainability aspirations for the Local Plan and will render it ineffective. </w:t>
      </w:r>
    </w:p>
    <w:p w14:paraId="2488C48B" w14:textId="77777777" w:rsidR="00596D64" w:rsidRPr="00F01F4F" w:rsidRDefault="00596D64" w:rsidP="00596D64">
      <w:pPr>
        <w:spacing w:line="276" w:lineRule="auto"/>
        <w:rPr>
          <w:rFonts w:ascii="Calibri" w:hAnsi="Calibri" w:cs="Calibri"/>
          <w:b/>
          <w:bCs/>
          <w:sz w:val="21"/>
          <w:szCs w:val="21"/>
        </w:rPr>
      </w:pPr>
    </w:p>
    <w:p w14:paraId="2DE8D0F4" w14:textId="10E7F798" w:rsidR="00596D64" w:rsidRPr="00E51D4C" w:rsidRDefault="00596D64" w:rsidP="00596D64">
      <w:pPr>
        <w:spacing w:line="276" w:lineRule="auto"/>
        <w:rPr>
          <w:rFonts w:ascii="Calibri" w:hAnsi="Calibri" w:cs="Calibri"/>
          <w:sz w:val="21"/>
          <w:szCs w:val="21"/>
        </w:rPr>
      </w:pPr>
      <w:r w:rsidRPr="00E51D4C">
        <w:rPr>
          <w:rFonts w:ascii="Calibri" w:hAnsi="Calibri" w:cs="Calibri"/>
          <w:b/>
          <w:bCs/>
          <w:sz w:val="21"/>
          <w:szCs w:val="21"/>
        </w:rPr>
        <w:t xml:space="preserve">Great Wilbraham </w:t>
      </w:r>
      <w:r w:rsidRPr="00E51D4C">
        <w:rPr>
          <w:rFonts w:ascii="Calibri" w:hAnsi="Calibri" w:cs="Calibri"/>
          <w:sz w:val="21"/>
          <w:szCs w:val="21"/>
        </w:rPr>
        <w:t xml:space="preserve">is classified as a Group Village within the Settlement Hierarchy. These villages are deemed to have limited sustainability, but nevertheless, under the Local Plan, developments of up to 8 dwellings are allowed with the expectation that this may help to maintain sustainability. </w:t>
      </w:r>
      <w:r w:rsidR="00A11A4C">
        <w:rPr>
          <w:rFonts w:ascii="Calibri" w:hAnsi="Calibri" w:cs="Calibri"/>
          <w:kern w:val="0"/>
          <w:sz w:val="21"/>
          <w:szCs w:val="21"/>
        </w:rPr>
        <w:t>In Great Wilbraham e</w:t>
      </w:r>
      <w:r w:rsidRPr="00E51D4C">
        <w:rPr>
          <w:rFonts w:ascii="Calibri" w:hAnsi="Calibri" w:cs="Calibri"/>
          <w:kern w:val="0"/>
          <w:sz w:val="21"/>
          <w:szCs w:val="21"/>
        </w:rPr>
        <w:t xml:space="preserve">ight new dwellings will make no material difference to school viability, population balance or local services and thus </w:t>
      </w:r>
      <w:r w:rsidRPr="00E51D4C">
        <w:rPr>
          <w:rFonts w:ascii="Calibri" w:hAnsi="Calibri" w:cs="Calibri"/>
          <w:sz w:val="21"/>
          <w:szCs w:val="21"/>
        </w:rPr>
        <w:t>the rigid Group Village category in the Settlement Hierarchy is not justified, nor will it be effective in maintaining sustainability.</w:t>
      </w:r>
    </w:p>
    <w:p w14:paraId="57A4ECEB" w14:textId="77777777" w:rsidR="00596D64" w:rsidRPr="00F01F4F" w:rsidRDefault="00596D64" w:rsidP="00596D64">
      <w:pPr>
        <w:spacing w:line="276" w:lineRule="auto"/>
        <w:rPr>
          <w:rFonts w:ascii="Calibri" w:hAnsi="Calibri" w:cs="Calibri"/>
          <w:sz w:val="21"/>
          <w:szCs w:val="21"/>
        </w:rPr>
      </w:pPr>
    </w:p>
    <w:p w14:paraId="6D21C9C3" w14:textId="77777777" w:rsidR="00596D64" w:rsidRPr="00F01F4F" w:rsidRDefault="00596D64" w:rsidP="00596D64">
      <w:pPr>
        <w:spacing w:line="276" w:lineRule="auto"/>
        <w:rPr>
          <w:rFonts w:ascii="Calibri" w:hAnsi="Calibri" w:cs="Calibri"/>
          <w:sz w:val="21"/>
          <w:szCs w:val="21"/>
        </w:rPr>
      </w:pPr>
      <w:r w:rsidRPr="00F01F4F">
        <w:rPr>
          <w:rFonts w:ascii="Calibri" w:hAnsi="Calibri" w:cs="Calibri"/>
          <w:sz w:val="21"/>
          <w:szCs w:val="21"/>
        </w:rPr>
        <w:t xml:space="preserve">The Settlement Hierarchy (SH) </w:t>
      </w:r>
      <w:r>
        <w:rPr>
          <w:rFonts w:ascii="Calibri" w:hAnsi="Calibri" w:cs="Calibri"/>
          <w:sz w:val="21"/>
          <w:szCs w:val="21"/>
        </w:rPr>
        <w:t xml:space="preserve">is not justified as it </w:t>
      </w:r>
      <w:r w:rsidRPr="00F01F4F">
        <w:rPr>
          <w:rFonts w:ascii="Calibri" w:hAnsi="Calibri" w:cs="Calibri"/>
          <w:sz w:val="21"/>
          <w:szCs w:val="21"/>
        </w:rPr>
        <w:t>treats all 33 Group Villages as a substantially homogeneous category despite major differences as noted by the Local Plan</w:t>
      </w:r>
      <w:r>
        <w:rPr>
          <w:rFonts w:ascii="Calibri" w:hAnsi="Calibri" w:cs="Calibri"/>
          <w:sz w:val="21"/>
          <w:szCs w:val="21"/>
        </w:rPr>
        <w:t>,</w:t>
      </w:r>
      <w:r w:rsidRPr="00F01F4F">
        <w:rPr>
          <w:rFonts w:ascii="Calibri" w:hAnsi="Calibri" w:cs="Calibri"/>
          <w:sz w:val="21"/>
          <w:szCs w:val="21"/>
        </w:rPr>
        <w:t xml:space="preserve"> in population, infrastructure (school, shop, public house, transport), employment, housing needs, land constraints and demographic circumstances.  Although at the lower end of </w:t>
      </w:r>
      <w:r w:rsidRPr="00E51D4C">
        <w:rPr>
          <w:rFonts w:ascii="Calibri" w:hAnsi="Calibri" w:cs="Calibri"/>
          <w:color w:val="000000" w:themeColor="text1"/>
          <w:sz w:val="21"/>
          <w:szCs w:val="21"/>
        </w:rPr>
        <w:t xml:space="preserve">population (606) </w:t>
      </w:r>
      <w:r w:rsidRPr="00F01F4F">
        <w:rPr>
          <w:rFonts w:ascii="Calibri" w:hAnsi="Calibri" w:cs="Calibri"/>
          <w:sz w:val="21"/>
          <w:szCs w:val="21"/>
        </w:rPr>
        <w:t xml:space="preserve">within this category, Great Wilbraham is a prime example of a successful and active rural community.  </w:t>
      </w:r>
      <w:r w:rsidRPr="00F01F4F">
        <w:rPr>
          <w:rFonts w:ascii="Calibri" w:eastAsia="Times New Roman" w:hAnsi="Calibri" w:cs="Calibri"/>
          <w:color w:val="000000"/>
          <w:kern w:val="0"/>
          <w:sz w:val="21"/>
          <w:szCs w:val="21"/>
          <w:lang w:eastAsia="en-GB"/>
          <w14:ligatures w14:val="none"/>
        </w:rPr>
        <w:t>Importantly, however, we argue that its community capacity far exceeds those formal Local Plan measures: the population of Great Wilbraham provides the people who, over many generations, have sustained its voluntary organisations, clubs, community activities, parish council and other local institutions. By acting as a hub, it also provides much valued support to neighbouring villages.</w:t>
      </w:r>
    </w:p>
    <w:p w14:paraId="4446283D" w14:textId="77777777" w:rsidR="00596D64" w:rsidRPr="00F01F4F" w:rsidRDefault="00596D64" w:rsidP="00596D64">
      <w:pPr>
        <w:spacing w:before="100" w:beforeAutospacing="1" w:after="100" w:afterAutospacing="1" w:line="276" w:lineRule="auto"/>
        <w:rPr>
          <w:rFonts w:ascii="Calibri" w:eastAsia="Times New Roman" w:hAnsi="Calibri" w:cs="Calibri"/>
          <w:color w:val="000000"/>
          <w:kern w:val="0"/>
          <w:sz w:val="21"/>
          <w:szCs w:val="21"/>
          <w:lang w:eastAsia="en-GB"/>
          <w14:ligatures w14:val="none"/>
        </w:rPr>
      </w:pPr>
      <w:r w:rsidRPr="00F01F4F">
        <w:rPr>
          <w:rFonts w:ascii="Calibri" w:eastAsia="Times New Roman" w:hAnsi="Calibri" w:cs="Calibri"/>
          <w:color w:val="000000"/>
          <w:kern w:val="0"/>
          <w:sz w:val="21"/>
          <w:szCs w:val="21"/>
          <w:lang w:eastAsia="en-GB"/>
          <w14:ligatures w14:val="none"/>
        </w:rPr>
        <w:t>This </w:t>
      </w:r>
      <w:r w:rsidRPr="00F01F4F">
        <w:rPr>
          <w:rFonts w:ascii="Calibri" w:eastAsia="Times New Roman" w:hAnsi="Calibri" w:cs="Calibri"/>
          <w:b/>
          <w:bCs/>
          <w:color w:val="000000"/>
          <w:kern w:val="0"/>
          <w:sz w:val="21"/>
          <w:szCs w:val="21"/>
          <w:lang w:eastAsia="en-GB"/>
          <w14:ligatures w14:val="none"/>
        </w:rPr>
        <w:t>community capacity is itself an important asset</w:t>
      </w:r>
      <w:r w:rsidRPr="00F01F4F">
        <w:rPr>
          <w:rFonts w:ascii="Calibri" w:eastAsia="Times New Roman" w:hAnsi="Calibri" w:cs="Calibri"/>
          <w:color w:val="000000"/>
          <w:kern w:val="0"/>
          <w:sz w:val="21"/>
          <w:szCs w:val="21"/>
          <w:lang w:eastAsia="en-GB"/>
          <w14:ligatures w14:val="none"/>
        </w:rPr>
        <w:t xml:space="preserve"> in providing some sustainability for Great Wilbraham and neighbouring villages</w:t>
      </w:r>
      <w:r>
        <w:rPr>
          <w:rFonts w:ascii="Calibri" w:eastAsia="Times New Roman" w:hAnsi="Calibri" w:cs="Calibri"/>
          <w:color w:val="000000"/>
          <w:kern w:val="0"/>
          <w:sz w:val="21"/>
          <w:szCs w:val="21"/>
          <w:lang w:eastAsia="en-GB"/>
          <w14:ligatures w14:val="none"/>
        </w:rPr>
        <w:t>.</w:t>
      </w:r>
      <w:r w:rsidRPr="00F01F4F">
        <w:rPr>
          <w:rFonts w:ascii="Calibri" w:eastAsia="Times New Roman" w:hAnsi="Calibri" w:cs="Calibri"/>
          <w:color w:val="000000"/>
          <w:kern w:val="0"/>
          <w:sz w:val="21"/>
          <w:szCs w:val="21"/>
          <w:lang w:eastAsia="en-GB"/>
          <w14:ligatures w14:val="none"/>
        </w:rPr>
        <w:t xml:space="preserve"> However, because of the small village population, it cannot be assumed to remain constant. Households age, young people move away, families change and the pool of people available to take on voluntary and parish responsibilities changes. There is a danger that a population such as Great Wilbraham is allowed to stagnate, gradually losing some of the people and energy on which its existing community life depends.</w:t>
      </w:r>
    </w:p>
    <w:p w14:paraId="5282834D" w14:textId="77777777" w:rsidR="00596D64" w:rsidRPr="00F01F4F" w:rsidRDefault="00596D64" w:rsidP="00596D64">
      <w:pPr>
        <w:spacing w:line="276" w:lineRule="auto"/>
        <w:rPr>
          <w:rFonts w:ascii="Calibri" w:hAnsi="Calibri" w:cs="Calibri"/>
          <w:sz w:val="21"/>
          <w:szCs w:val="21"/>
        </w:rPr>
      </w:pPr>
      <w:r w:rsidRPr="00F01F4F">
        <w:rPr>
          <w:rFonts w:ascii="Calibri" w:hAnsi="Calibri" w:cs="Calibri"/>
          <w:sz w:val="21"/>
          <w:szCs w:val="21"/>
        </w:rPr>
        <w:t xml:space="preserve">Specifically in Great Wilbraham the Parish Council </w:t>
      </w:r>
      <w:r>
        <w:rPr>
          <w:rFonts w:ascii="Calibri" w:hAnsi="Calibri" w:cs="Calibri"/>
          <w:sz w:val="21"/>
          <w:szCs w:val="21"/>
        </w:rPr>
        <w:t>has previously noted</w:t>
      </w:r>
      <w:r w:rsidRPr="00F01F4F">
        <w:rPr>
          <w:rFonts w:ascii="Calibri" w:hAnsi="Calibri" w:cs="Calibri"/>
          <w:sz w:val="21"/>
          <w:szCs w:val="21"/>
        </w:rPr>
        <w:t xml:space="preserve"> that:</w:t>
      </w:r>
    </w:p>
    <w:p w14:paraId="73F40453" w14:textId="77777777" w:rsidR="00596D64" w:rsidRPr="00F01F4F" w:rsidRDefault="00596D64" w:rsidP="00596D64">
      <w:pPr>
        <w:spacing w:line="276" w:lineRule="auto"/>
        <w:rPr>
          <w:rFonts w:ascii="Calibri" w:hAnsi="Calibri" w:cs="Calibri"/>
          <w:sz w:val="21"/>
          <w:szCs w:val="21"/>
        </w:rPr>
      </w:pPr>
    </w:p>
    <w:p w14:paraId="7356DECF" w14:textId="77777777" w:rsidR="00596D64" w:rsidRDefault="00596D64" w:rsidP="00596D64">
      <w:pPr>
        <w:pStyle w:val="ListBullet"/>
        <w:tabs>
          <w:tab w:val="num" w:pos="3"/>
        </w:tabs>
        <w:ind w:left="720" w:hanging="720"/>
        <w:rPr>
          <w:rFonts w:ascii="Calibri" w:hAnsi="Calibri" w:cs="Calibri"/>
          <w:szCs w:val="21"/>
        </w:rPr>
      </w:pPr>
      <w:r w:rsidRPr="00F01F4F">
        <w:rPr>
          <w:rFonts w:ascii="Calibri" w:hAnsi="Calibri" w:cs="Calibri"/>
          <w:szCs w:val="21"/>
        </w:rPr>
        <w:t>The village has an ageing population</w:t>
      </w:r>
    </w:p>
    <w:p w14:paraId="66AE9260" w14:textId="77777777" w:rsidR="00596D64" w:rsidRDefault="00596D64" w:rsidP="00596D64">
      <w:pPr>
        <w:pStyle w:val="ListBullet"/>
        <w:tabs>
          <w:tab w:val="num" w:pos="3"/>
        </w:tabs>
        <w:ind w:left="720" w:hanging="720"/>
        <w:rPr>
          <w:rFonts w:ascii="Calibri" w:hAnsi="Calibri" w:cs="Calibri"/>
          <w:szCs w:val="21"/>
        </w:rPr>
      </w:pPr>
      <w:r w:rsidRPr="00F01F4F">
        <w:rPr>
          <w:rFonts w:ascii="Calibri" w:hAnsi="Calibri" w:cs="Calibri"/>
          <w:szCs w:val="21"/>
        </w:rPr>
        <w:t>The existing housing stock is relatively static</w:t>
      </w:r>
      <w:r>
        <w:rPr>
          <w:rFonts w:ascii="Calibri" w:hAnsi="Calibri" w:cs="Calibri"/>
          <w:szCs w:val="21"/>
        </w:rPr>
        <w:t>. There have only been around 10 new homes built in the last 27 years and none of these were affordable homes. Conversely many of the existing homes have been enlarged, meaning that houses have become more expensive and there is a shortage of smaller, affordable and accessible homes.</w:t>
      </w:r>
    </w:p>
    <w:p w14:paraId="52324B5C" w14:textId="77777777" w:rsidR="00596D64" w:rsidRDefault="00596D64" w:rsidP="00596D64">
      <w:pPr>
        <w:pStyle w:val="ListBullet"/>
        <w:tabs>
          <w:tab w:val="num" w:pos="3"/>
        </w:tabs>
        <w:ind w:left="720" w:hanging="720"/>
        <w:rPr>
          <w:rFonts w:ascii="Calibri" w:hAnsi="Calibri" w:cs="Calibri"/>
          <w:szCs w:val="21"/>
        </w:rPr>
      </w:pPr>
      <w:r>
        <w:rPr>
          <w:rFonts w:ascii="Calibri" w:hAnsi="Calibri" w:cs="Calibri"/>
          <w:szCs w:val="21"/>
        </w:rPr>
        <w:t xml:space="preserve">It is therefore increasingly difficult for </w:t>
      </w:r>
      <w:r w:rsidRPr="00F01F4F">
        <w:rPr>
          <w:rFonts w:ascii="Calibri" w:hAnsi="Calibri" w:cs="Calibri"/>
          <w:szCs w:val="21"/>
        </w:rPr>
        <w:t>younger households to live here or for older people, often longstanding village residents, to downsize into suitable property whilst remaining in the village. This goes beyond the need for ‘affordable housing’ and people with local connections and thus is a problem that cannot be solved by ‘rural exception’ sites.</w:t>
      </w:r>
    </w:p>
    <w:p w14:paraId="6E81E422" w14:textId="77777777" w:rsidR="00596D64" w:rsidRPr="00EB7341" w:rsidRDefault="00596D64" w:rsidP="00596D64">
      <w:pPr>
        <w:pStyle w:val="ListBullet"/>
        <w:tabs>
          <w:tab w:val="num" w:pos="3"/>
        </w:tabs>
        <w:ind w:left="720" w:hanging="720"/>
        <w:rPr>
          <w:rFonts w:ascii="Calibri" w:hAnsi="Calibri" w:cs="Calibri"/>
          <w:szCs w:val="21"/>
        </w:rPr>
      </w:pPr>
      <w:r w:rsidRPr="00EB7341">
        <w:rPr>
          <w:rFonts w:ascii="Calibri" w:hAnsi="Calibri" w:cs="Calibri"/>
          <w:szCs w:val="21"/>
        </w:rPr>
        <w:lastRenderedPageBreak/>
        <w:t xml:space="preserve">Local facilities, including the school, shop, pub and community activities, depend on having a viable and reasonably age-balanced population. In particular, the school needs sufficient primary aged children; community activities such as those based at the Wilbrahams Memorial Hall provide much social support across the entire population and to surrounding villages but are totally dependent on volunteers; it has been repeatedly noted in Great Wilbraham, as the population ages, the volunteer work force has dwindled. </w:t>
      </w:r>
    </w:p>
    <w:p w14:paraId="0819D2C8" w14:textId="77777777" w:rsidR="00596D64" w:rsidRPr="00F01F4F" w:rsidRDefault="00596D64" w:rsidP="00596D64">
      <w:pPr>
        <w:pStyle w:val="ListBullet"/>
        <w:numPr>
          <w:ilvl w:val="0"/>
          <w:numId w:val="0"/>
        </w:numPr>
        <w:rPr>
          <w:rFonts w:ascii="Calibri" w:hAnsi="Calibri" w:cs="Calibri"/>
          <w:szCs w:val="21"/>
        </w:rPr>
      </w:pPr>
    </w:p>
    <w:p w14:paraId="61B801D2" w14:textId="77777777" w:rsidR="00596D64" w:rsidRPr="00F01F4F" w:rsidRDefault="00596D64" w:rsidP="00596D64">
      <w:pPr>
        <w:pStyle w:val="ListBullet"/>
        <w:numPr>
          <w:ilvl w:val="0"/>
          <w:numId w:val="0"/>
        </w:numPr>
        <w:rPr>
          <w:rFonts w:ascii="Calibri" w:hAnsi="Calibri" w:cs="Calibri"/>
          <w:szCs w:val="21"/>
        </w:rPr>
      </w:pPr>
      <w:r w:rsidRPr="00F01F4F">
        <w:rPr>
          <w:rFonts w:ascii="Calibri" w:hAnsi="Calibri" w:cs="Calibri"/>
          <w:szCs w:val="21"/>
        </w:rPr>
        <w:t>The Parish Council considers that in Great Wilbraham</w:t>
      </w:r>
      <w:r>
        <w:rPr>
          <w:rFonts w:ascii="Calibri" w:hAnsi="Calibri" w:cs="Calibri"/>
          <w:szCs w:val="21"/>
        </w:rPr>
        <w:t>,</w:t>
      </w:r>
      <w:r w:rsidRPr="00F01F4F">
        <w:rPr>
          <w:rFonts w:ascii="Calibri" w:hAnsi="Calibri" w:cs="Calibri"/>
          <w:szCs w:val="21"/>
        </w:rPr>
        <w:t xml:space="preserve"> appropriate growth (possibly up to 50 homes)</w:t>
      </w:r>
      <w:r>
        <w:rPr>
          <w:rFonts w:ascii="Calibri" w:hAnsi="Calibri" w:cs="Calibri"/>
          <w:szCs w:val="21"/>
        </w:rPr>
        <w:t>,</w:t>
      </w:r>
      <w:r w:rsidRPr="00F01F4F">
        <w:rPr>
          <w:rFonts w:ascii="Calibri" w:hAnsi="Calibri" w:cs="Calibri"/>
          <w:szCs w:val="21"/>
        </w:rPr>
        <w:t xml:space="preserve"> </w:t>
      </w:r>
      <w:r>
        <w:rPr>
          <w:rFonts w:ascii="Calibri" w:hAnsi="Calibri" w:cs="Calibri"/>
          <w:szCs w:val="21"/>
        </w:rPr>
        <w:t>w</w:t>
      </w:r>
      <w:r w:rsidRPr="00F01F4F">
        <w:rPr>
          <w:rFonts w:ascii="Calibri" w:hAnsi="Calibri" w:cs="Calibri"/>
          <w:szCs w:val="21"/>
        </w:rPr>
        <w:t xml:space="preserve">ould help sustain services by </w:t>
      </w:r>
      <w:r>
        <w:rPr>
          <w:rFonts w:ascii="Calibri" w:hAnsi="Calibri" w:cs="Calibri"/>
          <w:szCs w:val="21"/>
        </w:rPr>
        <w:t xml:space="preserve">facilitating </w:t>
      </w:r>
      <w:r w:rsidRPr="00F01F4F">
        <w:rPr>
          <w:rFonts w:ascii="Calibri" w:hAnsi="Calibri" w:cs="Calibri"/>
          <w:szCs w:val="21"/>
        </w:rPr>
        <w:t>a small increase in the population, particularly younger people and families, and provide opportunities for smaller homes, affordable housing and homes suitable for older residents who want to relocate to more suitable accommodation in the village. There should be a mechanism in the Local Plan for village needs to be considered on a case-by-case basis rather than a rigid one size fits all limit through the Settlement Hierarchy.</w:t>
      </w:r>
    </w:p>
    <w:p w14:paraId="6B2AB3D9" w14:textId="77777777" w:rsidR="00596D64" w:rsidRPr="00F01F4F" w:rsidRDefault="00596D64" w:rsidP="00596D64">
      <w:pPr>
        <w:pStyle w:val="ListBullet"/>
        <w:numPr>
          <w:ilvl w:val="0"/>
          <w:numId w:val="0"/>
        </w:numPr>
        <w:rPr>
          <w:rFonts w:ascii="Calibri" w:hAnsi="Calibri" w:cs="Calibri"/>
          <w:szCs w:val="21"/>
        </w:rPr>
      </w:pPr>
    </w:p>
    <w:p w14:paraId="60426E83" w14:textId="77777777" w:rsidR="00596D64" w:rsidRPr="00F01F4F" w:rsidRDefault="00596D64" w:rsidP="00596D64">
      <w:pPr>
        <w:pStyle w:val="ListBullet"/>
        <w:numPr>
          <w:ilvl w:val="0"/>
          <w:numId w:val="0"/>
        </w:numPr>
        <w:rPr>
          <w:rFonts w:ascii="Calibri" w:hAnsi="Calibri" w:cs="Calibri"/>
          <w:szCs w:val="21"/>
        </w:rPr>
      </w:pPr>
      <w:r>
        <w:rPr>
          <w:rFonts w:ascii="Calibri" w:hAnsi="Calibri" w:cs="Calibri"/>
          <w:szCs w:val="21"/>
        </w:rPr>
        <w:t>In summary, all these</w:t>
      </w:r>
      <w:r w:rsidRPr="00F01F4F">
        <w:rPr>
          <w:rFonts w:ascii="Calibri" w:hAnsi="Calibri" w:cs="Calibri"/>
          <w:szCs w:val="21"/>
        </w:rPr>
        <w:t xml:space="preserve"> deficiencies render</w:t>
      </w:r>
      <w:r w:rsidRPr="00F01F4F">
        <w:rPr>
          <w:rFonts w:ascii="Calibri" w:hAnsi="Calibri" w:cs="Calibri"/>
          <w:b/>
          <w:bCs/>
          <w:szCs w:val="21"/>
        </w:rPr>
        <w:t xml:space="preserve"> unachievable</w:t>
      </w:r>
      <w:r w:rsidRPr="00F01F4F">
        <w:rPr>
          <w:rFonts w:ascii="Calibri" w:hAnsi="Calibri" w:cs="Calibri"/>
          <w:szCs w:val="21"/>
        </w:rPr>
        <w:t xml:space="preserve"> the Local Plan aspirations to maintain the modest sustainability of its smaller Group Villages – diminishing the quality of life and effectively disenfranchising up to a quarter of </w:t>
      </w:r>
      <w:r>
        <w:rPr>
          <w:rFonts w:ascii="Calibri" w:hAnsi="Calibri" w:cs="Calibri"/>
          <w:szCs w:val="21"/>
        </w:rPr>
        <w:t xml:space="preserve">the South Cambridgeshire </w:t>
      </w:r>
      <w:r w:rsidRPr="00F01F4F">
        <w:rPr>
          <w:rFonts w:ascii="Calibri" w:hAnsi="Calibri" w:cs="Calibri"/>
          <w:szCs w:val="21"/>
        </w:rPr>
        <w:t>population.</w:t>
      </w:r>
    </w:p>
    <w:p w14:paraId="6F9679F8" w14:textId="77777777" w:rsidR="00596D64" w:rsidRDefault="00596D64" w:rsidP="00596D64">
      <w:pPr>
        <w:spacing w:before="100" w:beforeAutospacing="1" w:after="100" w:afterAutospacing="1" w:line="276" w:lineRule="auto"/>
        <w:rPr>
          <w:rFonts w:ascii="Calibri" w:eastAsia="Times New Roman" w:hAnsi="Calibri" w:cs="Calibri"/>
          <w:color w:val="000000"/>
          <w:kern w:val="0"/>
          <w:sz w:val="21"/>
          <w:szCs w:val="21"/>
          <w:lang w:eastAsia="en-GB"/>
          <w14:ligatures w14:val="none"/>
        </w:rPr>
      </w:pPr>
      <w:r w:rsidRPr="00F01F4F">
        <w:rPr>
          <w:rFonts w:ascii="Calibri" w:eastAsia="Times New Roman" w:hAnsi="Calibri" w:cs="Calibri"/>
          <w:color w:val="000000"/>
          <w:kern w:val="0"/>
          <w:sz w:val="21"/>
          <w:szCs w:val="21"/>
          <w:lang w:eastAsia="en-GB"/>
          <w14:ligatures w14:val="none"/>
        </w:rPr>
        <w:t xml:space="preserve">In policy terms more widely we draw attention to </w:t>
      </w:r>
    </w:p>
    <w:p w14:paraId="7AD20BE3" w14:textId="77777777" w:rsidR="00596D64" w:rsidRDefault="00596D64" w:rsidP="00596D64">
      <w:pPr>
        <w:pStyle w:val="ListParagraph"/>
        <w:numPr>
          <w:ilvl w:val="0"/>
          <w:numId w:val="2"/>
        </w:numPr>
        <w:spacing w:before="100" w:beforeAutospacing="1" w:after="100" w:afterAutospacing="1" w:line="276" w:lineRule="auto"/>
        <w:rPr>
          <w:rFonts w:ascii="Calibri" w:eastAsia="Times New Roman" w:hAnsi="Calibri" w:cs="Calibri"/>
          <w:color w:val="000000"/>
          <w:kern w:val="0"/>
          <w:sz w:val="21"/>
          <w:szCs w:val="21"/>
          <w:lang w:eastAsia="en-GB"/>
          <w14:ligatures w14:val="none"/>
        </w:rPr>
      </w:pPr>
      <w:r w:rsidRPr="00E51D4C">
        <w:rPr>
          <w:rFonts w:ascii="Calibri" w:eastAsia="Times New Roman" w:hAnsi="Calibri" w:cs="Calibri"/>
          <w:color w:val="000000"/>
          <w:kern w:val="0"/>
          <w:sz w:val="21"/>
          <w:szCs w:val="21"/>
          <w:lang w:eastAsia="en-GB"/>
          <w14:ligatures w14:val="none"/>
        </w:rPr>
        <w:t xml:space="preserve">the fact that Cambridgeshire has a long tradition of investing in existing communities – as manifest, for example in the Village Colleges developed in the last century. Here it was explicitly recognised that rural communities need investment if they are to remain vibrant. </w:t>
      </w:r>
    </w:p>
    <w:p w14:paraId="671EF9C6" w14:textId="77777777" w:rsidR="00596D64" w:rsidRPr="00E51D4C" w:rsidRDefault="00596D64" w:rsidP="00596D64">
      <w:pPr>
        <w:pStyle w:val="ListParagraph"/>
        <w:spacing w:before="100" w:beforeAutospacing="1" w:after="100" w:afterAutospacing="1" w:line="276" w:lineRule="auto"/>
        <w:rPr>
          <w:rFonts w:ascii="Calibri" w:eastAsia="Times New Roman" w:hAnsi="Calibri" w:cs="Calibri"/>
          <w:color w:val="000000"/>
          <w:kern w:val="0"/>
          <w:sz w:val="21"/>
          <w:szCs w:val="21"/>
          <w:lang w:eastAsia="en-GB"/>
          <w14:ligatures w14:val="none"/>
        </w:rPr>
      </w:pPr>
    </w:p>
    <w:p w14:paraId="2A6119F1" w14:textId="77777777" w:rsidR="00596D64" w:rsidRPr="00E51D4C" w:rsidRDefault="00596D64" w:rsidP="00596D64">
      <w:pPr>
        <w:pStyle w:val="ListParagraph"/>
        <w:numPr>
          <w:ilvl w:val="0"/>
          <w:numId w:val="2"/>
        </w:numPr>
        <w:spacing w:before="100" w:beforeAutospacing="1" w:after="100" w:afterAutospacing="1" w:line="276" w:lineRule="auto"/>
        <w:rPr>
          <w:rFonts w:ascii="Calibri" w:eastAsia="Times New Roman" w:hAnsi="Calibri" w:cs="Calibri"/>
          <w:color w:val="000000"/>
          <w:kern w:val="0"/>
          <w:sz w:val="21"/>
          <w:szCs w:val="21"/>
          <w:lang w:eastAsia="en-GB"/>
          <w14:ligatures w14:val="none"/>
        </w:rPr>
      </w:pPr>
      <w:r w:rsidRPr="00E51D4C">
        <w:rPr>
          <w:rFonts w:ascii="Calibri" w:eastAsia="Times New Roman" w:hAnsi="Calibri" w:cs="Calibri"/>
          <w:color w:val="000000"/>
          <w:kern w:val="0"/>
          <w:sz w:val="21"/>
          <w:szCs w:val="21"/>
          <w:lang w:eastAsia="en-GB"/>
          <w14:ligatures w14:val="none"/>
        </w:rPr>
        <w:t>an important contemporary parallel with the current Government’s emerging approach to community empowerment, which recognises the importance of places, relationships and a sense of belonging and that the existing knowledge, relationships and voluntary activity are vital assets which public policy should strengthen</w:t>
      </w:r>
    </w:p>
    <w:p w14:paraId="6A2CF370" w14:textId="77777777" w:rsidR="00596D64" w:rsidRPr="00F01F4F" w:rsidRDefault="00596D64" w:rsidP="00596D64">
      <w:pPr>
        <w:spacing w:before="100" w:beforeAutospacing="1" w:after="100" w:afterAutospacing="1" w:line="276" w:lineRule="auto"/>
        <w:rPr>
          <w:rFonts w:ascii="Calibri" w:eastAsia="Times New Roman" w:hAnsi="Calibri" w:cs="Calibri"/>
          <w:color w:val="000000"/>
          <w:kern w:val="0"/>
          <w:sz w:val="21"/>
          <w:szCs w:val="21"/>
          <w:lang w:eastAsia="en-GB"/>
          <w14:ligatures w14:val="none"/>
        </w:rPr>
      </w:pPr>
      <w:r w:rsidRPr="00F01F4F">
        <w:rPr>
          <w:rFonts w:ascii="Calibri" w:eastAsia="Times New Roman" w:hAnsi="Calibri" w:cs="Calibri"/>
          <w:color w:val="000000"/>
          <w:kern w:val="0"/>
          <w:sz w:val="21"/>
          <w:szCs w:val="21"/>
          <w:lang w:eastAsia="en-GB"/>
          <w14:ligatures w14:val="none"/>
        </w:rPr>
        <w:t xml:space="preserve">If national policy increasingly recognises the importance of community capacity and local agency, the Local Plan should take care not inadvertently to weaken those qualities by treating an established village as though </w:t>
      </w:r>
      <w:proofErr w:type="spellStart"/>
      <w:r w:rsidRPr="00F01F4F">
        <w:rPr>
          <w:rFonts w:ascii="Calibri" w:eastAsia="Times New Roman" w:hAnsi="Calibri" w:cs="Calibri"/>
          <w:color w:val="000000"/>
          <w:kern w:val="0"/>
          <w:sz w:val="21"/>
          <w:szCs w:val="21"/>
          <w:lang w:eastAsia="en-GB"/>
          <w14:ligatures w14:val="none"/>
        </w:rPr>
        <w:t>its</w:t>
      </w:r>
      <w:proofErr w:type="spellEnd"/>
      <w:r w:rsidRPr="00F01F4F">
        <w:rPr>
          <w:rFonts w:ascii="Calibri" w:eastAsia="Times New Roman" w:hAnsi="Calibri" w:cs="Calibri"/>
          <w:color w:val="000000"/>
          <w:kern w:val="0"/>
          <w:sz w:val="21"/>
          <w:szCs w:val="21"/>
          <w:lang w:eastAsia="en-GB"/>
          <w14:ligatures w14:val="none"/>
        </w:rPr>
        <w:t xml:space="preserve"> appropriate population and physical extent were permanently fixed at the date on which a planning boundary was drawn. </w:t>
      </w:r>
    </w:p>
    <w:p w14:paraId="5983F510" w14:textId="77777777" w:rsidR="00596D64" w:rsidRPr="00F01F4F" w:rsidRDefault="00596D64" w:rsidP="00596D64">
      <w:pPr>
        <w:spacing w:before="100" w:beforeAutospacing="1" w:after="100" w:afterAutospacing="1" w:line="276" w:lineRule="auto"/>
        <w:rPr>
          <w:rFonts w:ascii="Calibri" w:eastAsia="Times New Roman" w:hAnsi="Calibri" w:cs="Calibri"/>
          <w:b/>
          <w:bCs/>
          <w:color w:val="000000"/>
          <w:kern w:val="0"/>
          <w:sz w:val="21"/>
          <w:szCs w:val="21"/>
          <w:lang w:eastAsia="en-GB"/>
          <w14:ligatures w14:val="none"/>
        </w:rPr>
      </w:pPr>
      <w:r w:rsidRPr="00F01F4F">
        <w:rPr>
          <w:rFonts w:ascii="Calibri" w:eastAsia="Times New Roman" w:hAnsi="Calibri" w:cs="Calibri"/>
          <w:b/>
          <w:bCs/>
          <w:color w:val="000000"/>
          <w:kern w:val="0"/>
          <w:sz w:val="21"/>
          <w:szCs w:val="21"/>
          <w:lang w:eastAsia="en-GB"/>
          <w14:ligatures w14:val="none"/>
        </w:rPr>
        <w:t>We argue that – rather than a fixed categorisation and rigid limitation of development, communities such as ours in Great Wilbraham should be properly consulted on the development that would be necessary to allow our own community to thrive</w:t>
      </w:r>
      <w:r>
        <w:rPr>
          <w:rFonts w:ascii="Calibri" w:eastAsia="Times New Roman" w:hAnsi="Calibri" w:cs="Calibri"/>
          <w:b/>
          <w:bCs/>
          <w:color w:val="000000"/>
          <w:kern w:val="0"/>
          <w:sz w:val="21"/>
          <w:szCs w:val="21"/>
          <w:lang w:eastAsia="en-GB"/>
          <w14:ligatures w14:val="none"/>
        </w:rPr>
        <w:t xml:space="preserve">. </w:t>
      </w:r>
    </w:p>
    <w:p w14:paraId="14EC6743" w14:textId="77777777" w:rsidR="00596D64" w:rsidRDefault="00596D64"/>
    <w:sectPr w:rsidR="00596D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D7EC32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E426E5F"/>
    <w:multiLevelType w:val="hybridMultilevel"/>
    <w:tmpl w:val="90B4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3263516">
    <w:abstractNumId w:val="0"/>
  </w:num>
  <w:num w:numId="2" w16cid:durableId="4518974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64"/>
    <w:rsid w:val="0037774E"/>
    <w:rsid w:val="0042448D"/>
    <w:rsid w:val="00596D64"/>
    <w:rsid w:val="006068C4"/>
    <w:rsid w:val="006D76FC"/>
    <w:rsid w:val="006E55F9"/>
    <w:rsid w:val="00813AFA"/>
    <w:rsid w:val="009A45BE"/>
    <w:rsid w:val="00A11A4C"/>
    <w:rsid w:val="00A64A0F"/>
    <w:rsid w:val="00CD3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EAB7A1"/>
  <w15:chartTrackingRefBased/>
  <w15:docId w15:val="{E803C3A2-20E1-2A4F-AA61-E5C528AB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D64"/>
  </w:style>
  <w:style w:type="paragraph" w:styleId="Heading1">
    <w:name w:val="heading 1"/>
    <w:basedOn w:val="Normal"/>
    <w:next w:val="Normal"/>
    <w:link w:val="Heading1Char"/>
    <w:uiPriority w:val="9"/>
    <w:qFormat/>
    <w:rsid w:val="00596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D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D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D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D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D64"/>
    <w:rPr>
      <w:rFonts w:eastAsiaTheme="majorEastAsia" w:cstheme="majorBidi"/>
      <w:color w:val="272727" w:themeColor="text1" w:themeTint="D8"/>
    </w:rPr>
  </w:style>
  <w:style w:type="paragraph" w:styleId="Title">
    <w:name w:val="Title"/>
    <w:basedOn w:val="Normal"/>
    <w:next w:val="Normal"/>
    <w:link w:val="TitleChar"/>
    <w:uiPriority w:val="10"/>
    <w:qFormat/>
    <w:rsid w:val="00596D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D6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D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6D64"/>
    <w:rPr>
      <w:i/>
      <w:iCs/>
      <w:color w:val="404040" w:themeColor="text1" w:themeTint="BF"/>
    </w:rPr>
  </w:style>
  <w:style w:type="paragraph" w:styleId="ListParagraph">
    <w:name w:val="List Paragraph"/>
    <w:basedOn w:val="Normal"/>
    <w:uiPriority w:val="34"/>
    <w:qFormat/>
    <w:rsid w:val="00596D64"/>
    <w:pPr>
      <w:ind w:left="720"/>
      <w:contextualSpacing/>
    </w:pPr>
  </w:style>
  <w:style w:type="character" w:styleId="IntenseEmphasis">
    <w:name w:val="Intense Emphasis"/>
    <w:basedOn w:val="DefaultParagraphFont"/>
    <w:uiPriority w:val="21"/>
    <w:qFormat/>
    <w:rsid w:val="00596D64"/>
    <w:rPr>
      <w:i/>
      <w:iCs/>
      <w:color w:val="0F4761" w:themeColor="accent1" w:themeShade="BF"/>
    </w:rPr>
  </w:style>
  <w:style w:type="paragraph" w:styleId="IntenseQuote">
    <w:name w:val="Intense Quote"/>
    <w:basedOn w:val="Normal"/>
    <w:next w:val="Normal"/>
    <w:link w:val="IntenseQuoteChar"/>
    <w:uiPriority w:val="30"/>
    <w:qFormat/>
    <w:rsid w:val="00596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D64"/>
    <w:rPr>
      <w:i/>
      <w:iCs/>
      <w:color w:val="0F4761" w:themeColor="accent1" w:themeShade="BF"/>
    </w:rPr>
  </w:style>
  <w:style w:type="character" w:styleId="IntenseReference">
    <w:name w:val="Intense Reference"/>
    <w:basedOn w:val="DefaultParagraphFont"/>
    <w:uiPriority w:val="32"/>
    <w:qFormat/>
    <w:rsid w:val="00596D64"/>
    <w:rPr>
      <w:b/>
      <w:bCs/>
      <w:smallCaps/>
      <w:color w:val="0F4761" w:themeColor="accent1" w:themeShade="BF"/>
      <w:spacing w:val="5"/>
    </w:rPr>
  </w:style>
  <w:style w:type="paragraph" w:styleId="ListBullet">
    <w:name w:val="List Bullet"/>
    <w:basedOn w:val="Normal"/>
    <w:uiPriority w:val="99"/>
    <w:unhideWhenUsed/>
    <w:rsid w:val="00596D64"/>
    <w:pPr>
      <w:numPr>
        <w:numId w:val="1"/>
      </w:numPr>
      <w:tabs>
        <w:tab w:val="clear" w:pos="360"/>
      </w:tabs>
      <w:spacing w:after="200" w:line="276" w:lineRule="auto"/>
      <w:ind w:left="0" w:firstLine="0"/>
      <w:contextualSpacing/>
    </w:pPr>
    <w:rPr>
      <w:rFonts w:ascii="Arial" w:eastAsiaTheme="minorEastAsia" w:hAnsi="Arial"/>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931</Words>
  <Characters>5307</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Burton</dc:creator>
  <cp:keywords/>
  <dc:description/>
  <cp:lastModifiedBy>H. Burton</cp:lastModifiedBy>
  <cp:revision>3</cp:revision>
  <dcterms:created xsi:type="dcterms:W3CDTF">2026-09-23T11:41:00Z</dcterms:created>
  <dcterms:modified xsi:type="dcterms:W3CDTF">2026-09-23T11:45:00Z</dcterms:modified>
</cp:coreProperties>
</file>