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1D7CF" w14:textId="77777777" w:rsidR="008370D7" w:rsidRDefault="00000000">
      <w:pPr>
        <w:spacing w:after="80"/>
      </w:pPr>
      <w:r>
        <w:rPr>
          <w:b/>
          <w:color w:val="1B365D"/>
          <w:sz w:val="40"/>
        </w:rPr>
        <w:t>BOXWORTH PARISH REPRESENTATION ON THE PROPOSED SUBMISSION</w:t>
      </w:r>
    </w:p>
    <w:p w14:paraId="552103DA" w14:textId="77777777" w:rsidR="008370D7" w:rsidRDefault="00000000">
      <w:pPr>
        <w:spacing w:after="320"/>
      </w:pPr>
      <w:r>
        <w:rPr>
          <w:i/>
          <w:color w:val="4A607A"/>
          <w:sz w:val="26"/>
        </w:rPr>
        <w:t>GREATER CAMBRIDGE LOCAL PLAN – REGULATION 19</w:t>
      </w:r>
    </w:p>
    <w:tbl>
      <w:tblPr>
        <w:tblW w:w="0" w:type="auto"/>
        <w:jc w:val="center"/>
        <w:tblLook w:val="04A0" w:firstRow="1" w:lastRow="0" w:firstColumn="1" w:lastColumn="0" w:noHBand="0" w:noVBand="1"/>
      </w:tblPr>
      <w:tblGrid>
        <w:gridCol w:w="3168"/>
        <w:gridCol w:w="5861"/>
      </w:tblGrid>
      <w:tr w:rsidR="008370D7" w14:paraId="0174F85D" w14:textId="77777777">
        <w:trPr>
          <w:jc w:val="center"/>
        </w:trPr>
        <w:tc>
          <w:tcPr>
            <w:tcW w:w="3168" w:type="dxa"/>
            <w:tcBorders>
              <w:top w:val="single" w:sz="4" w:space="0" w:color="CBD5E1"/>
              <w:left w:val="single" w:sz="4" w:space="0" w:color="CBD5E1"/>
              <w:bottom w:val="single" w:sz="4" w:space="0" w:color="CBD5E1"/>
              <w:right w:val="single" w:sz="4" w:space="0" w:color="CBD5E1"/>
            </w:tcBorders>
            <w:shd w:val="clear" w:color="auto" w:fill="F0F4F8"/>
            <w:tcMar>
              <w:top w:w="80" w:type="dxa"/>
              <w:left w:w="120" w:type="dxa"/>
              <w:bottom w:w="80" w:type="dxa"/>
              <w:right w:w="120" w:type="dxa"/>
            </w:tcMar>
          </w:tcPr>
          <w:p w14:paraId="6E9DB25C" w14:textId="77777777" w:rsidR="008370D7" w:rsidRDefault="00000000">
            <w:pPr>
              <w:spacing w:after="0"/>
            </w:pPr>
            <w:r>
              <w:rPr>
                <w:b/>
                <w:color w:val="1B365D"/>
                <w:sz w:val="19"/>
              </w:rPr>
              <w:t>Policy / Section:</w:t>
            </w:r>
          </w:p>
        </w:tc>
        <w:tc>
          <w:tcPr>
            <w:tcW w:w="5861" w:type="dxa"/>
            <w:tcBorders>
              <w:top w:val="single" w:sz="4" w:space="0" w:color="CBD5E1"/>
              <w:left w:val="single" w:sz="4" w:space="0" w:color="CBD5E1"/>
              <w:bottom w:val="single" w:sz="4" w:space="0" w:color="CBD5E1"/>
              <w:right w:val="single" w:sz="4" w:space="0" w:color="CBD5E1"/>
            </w:tcBorders>
            <w:tcMar>
              <w:top w:w="80" w:type="dxa"/>
              <w:left w:w="120" w:type="dxa"/>
              <w:bottom w:w="80" w:type="dxa"/>
              <w:right w:w="120" w:type="dxa"/>
            </w:tcMar>
          </w:tcPr>
          <w:p w14:paraId="32D07067" w14:textId="77777777" w:rsidR="008370D7" w:rsidRDefault="00000000">
            <w:pPr>
              <w:spacing w:after="0"/>
            </w:pPr>
            <w:r>
              <w:rPr>
                <w:sz w:val="19"/>
              </w:rPr>
              <w:t>Policy GP/ST and Appendix H (Skyline and Tall Buildings Guidance)</w:t>
            </w:r>
          </w:p>
        </w:tc>
      </w:tr>
      <w:tr w:rsidR="008370D7" w14:paraId="2203F312" w14:textId="77777777">
        <w:trPr>
          <w:jc w:val="center"/>
        </w:trPr>
        <w:tc>
          <w:tcPr>
            <w:tcW w:w="3168" w:type="dxa"/>
            <w:tcBorders>
              <w:top w:val="single" w:sz="4" w:space="0" w:color="CBD5E1"/>
              <w:left w:val="single" w:sz="4" w:space="0" w:color="CBD5E1"/>
              <w:bottom w:val="single" w:sz="4" w:space="0" w:color="CBD5E1"/>
              <w:right w:val="single" w:sz="4" w:space="0" w:color="CBD5E1"/>
            </w:tcBorders>
            <w:shd w:val="clear" w:color="auto" w:fill="F0F4F8"/>
            <w:tcMar>
              <w:top w:w="80" w:type="dxa"/>
              <w:left w:w="120" w:type="dxa"/>
              <w:bottom w:w="80" w:type="dxa"/>
              <w:right w:w="120" w:type="dxa"/>
            </w:tcMar>
          </w:tcPr>
          <w:p w14:paraId="7F68AC32" w14:textId="77777777" w:rsidR="008370D7" w:rsidRDefault="00000000">
            <w:pPr>
              <w:spacing w:after="0"/>
            </w:pPr>
            <w:r>
              <w:rPr>
                <w:b/>
                <w:color w:val="1B365D"/>
                <w:sz w:val="19"/>
              </w:rPr>
              <w:t>Consultation Stage:</w:t>
            </w:r>
          </w:p>
        </w:tc>
        <w:tc>
          <w:tcPr>
            <w:tcW w:w="5861" w:type="dxa"/>
            <w:tcBorders>
              <w:top w:val="single" w:sz="4" w:space="0" w:color="CBD5E1"/>
              <w:left w:val="single" w:sz="4" w:space="0" w:color="CBD5E1"/>
              <w:bottom w:val="single" w:sz="4" w:space="0" w:color="CBD5E1"/>
              <w:right w:val="single" w:sz="4" w:space="0" w:color="CBD5E1"/>
            </w:tcBorders>
            <w:tcMar>
              <w:top w:w="80" w:type="dxa"/>
              <w:left w:w="120" w:type="dxa"/>
              <w:bottom w:w="80" w:type="dxa"/>
              <w:right w:w="120" w:type="dxa"/>
            </w:tcMar>
          </w:tcPr>
          <w:p w14:paraId="6DA30501" w14:textId="77777777" w:rsidR="008370D7" w:rsidRDefault="00000000">
            <w:pPr>
              <w:spacing w:after="0"/>
            </w:pPr>
            <w:r>
              <w:rPr>
                <w:sz w:val="19"/>
              </w:rPr>
              <w:t>Proposed Submission (Regulation 19)</w:t>
            </w:r>
          </w:p>
        </w:tc>
      </w:tr>
      <w:tr w:rsidR="008370D7" w14:paraId="1A90F729" w14:textId="77777777">
        <w:trPr>
          <w:jc w:val="center"/>
        </w:trPr>
        <w:tc>
          <w:tcPr>
            <w:tcW w:w="3168" w:type="dxa"/>
            <w:tcBorders>
              <w:top w:val="single" w:sz="4" w:space="0" w:color="CBD5E1"/>
              <w:left w:val="single" w:sz="4" w:space="0" w:color="CBD5E1"/>
              <w:bottom w:val="single" w:sz="4" w:space="0" w:color="CBD5E1"/>
              <w:right w:val="single" w:sz="4" w:space="0" w:color="CBD5E1"/>
            </w:tcBorders>
            <w:shd w:val="clear" w:color="auto" w:fill="F0F4F8"/>
            <w:tcMar>
              <w:top w:w="80" w:type="dxa"/>
              <w:left w:w="120" w:type="dxa"/>
              <w:bottom w:w="80" w:type="dxa"/>
              <w:right w:w="120" w:type="dxa"/>
            </w:tcMar>
          </w:tcPr>
          <w:p w14:paraId="0C90CF30" w14:textId="77777777" w:rsidR="008370D7" w:rsidRDefault="00000000">
            <w:pPr>
              <w:spacing w:after="0"/>
            </w:pPr>
            <w:r>
              <w:rPr>
                <w:b/>
                <w:color w:val="1B365D"/>
                <w:sz w:val="19"/>
              </w:rPr>
              <w:t>Statutory Test Addressed:</w:t>
            </w:r>
          </w:p>
        </w:tc>
        <w:tc>
          <w:tcPr>
            <w:tcW w:w="5861" w:type="dxa"/>
            <w:tcBorders>
              <w:top w:val="single" w:sz="4" w:space="0" w:color="CBD5E1"/>
              <w:left w:val="single" w:sz="4" w:space="0" w:color="CBD5E1"/>
              <w:bottom w:val="single" w:sz="4" w:space="0" w:color="CBD5E1"/>
              <w:right w:val="single" w:sz="4" w:space="0" w:color="CBD5E1"/>
            </w:tcBorders>
            <w:tcMar>
              <w:top w:w="80" w:type="dxa"/>
              <w:left w:w="120" w:type="dxa"/>
              <w:bottom w:w="80" w:type="dxa"/>
              <w:right w:w="120" w:type="dxa"/>
            </w:tcMar>
          </w:tcPr>
          <w:p w14:paraId="2A690927" w14:textId="77777777" w:rsidR="008370D7" w:rsidRDefault="00000000">
            <w:pPr>
              <w:spacing w:after="0"/>
            </w:pPr>
            <w:r>
              <w:rPr>
                <w:sz w:val="19"/>
              </w:rPr>
              <w:t>Soundness (Not Effective and Inconsistent with National Policy)</w:t>
            </w:r>
          </w:p>
        </w:tc>
      </w:tr>
    </w:tbl>
    <w:p w14:paraId="46669924" w14:textId="77777777" w:rsidR="008370D7" w:rsidRDefault="008370D7">
      <w:pPr>
        <w:spacing w:after="240"/>
      </w:pPr>
    </w:p>
    <w:tbl>
      <w:tblPr>
        <w:tblW w:w="0" w:type="auto"/>
        <w:jc w:val="center"/>
        <w:tblLook w:val="04A0" w:firstRow="1" w:lastRow="0" w:firstColumn="1" w:lastColumn="0" w:noHBand="0" w:noVBand="1"/>
      </w:tblPr>
      <w:tblGrid>
        <w:gridCol w:w="9029"/>
      </w:tblGrid>
      <w:tr w:rsidR="008370D7" w14:paraId="513A3F0B" w14:textId="77777777">
        <w:trPr>
          <w:jc w:val="center"/>
        </w:trPr>
        <w:tc>
          <w:tcPr>
            <w:tcW w:w="9029" w:type="dxa"/>
            <w:tcBorders>
              <w:left w:val="single" w:sz="36" w:space="0" w:color="1B365D"/>
            </w:tcBorders>
            <w:shd w:val="clear" w:color="auto" w:fill="F0F4F8"/>
            <w:tcMar>
              <w:top w:w="140" w:type="dxa"/>
              <w:left w:w="200" w:type="dxa"/>
              <w:bottom w:w="140" w:type="dxa"/>
              <w:right w:w="200" w:type="dxa"/>
            </w:tcMar>
          </w:tcPr>
          <w:p w14:paraId="690DCB39" w14:textId="77777777" w:rsidR="008370D7" w:rsidRDefault="00000000">
            <w:pPr>
              <w:spacing w:before="40" w:after="40"/>
            </w:pPr>
            <w:r>
              <w:rPr>
                <w:b/>
                <w:color w:val="1B365D"/>
              </w:rPr>
              <w:t>1. Soundness Conclusion</w:t>
            </w:r>
            <w:r>
              <w:rPr>
                <w:b/>
                <w:color w:val="1B365D"/>
              </w:rPr>
              <w:br/>
            </w:r>
            <w:r>
              <w:rPr>
                <w:sz w:val="21"/>
              </w:rPr>
              <w:t>Is the Plan Sound? No.</w:t>
            </w:r>
            <w:r>
              <w:rPr>
                <w:sz w:val="21"/>
              </w:rPr>
              <w:br/>
            </w:r>
            <w:r>
              <w:rPr>
                <w:sz w:val="21"/>
              </w:rPr>
              <w:br/>
              <w:t>Tests of Soundness Failed:</w:t>
            </w:r>
            <w:r>
              <w:rPr>
                <w:sz w:val="21"/>
              </w:rPr>
              <w:br/>
              <w:t>•  Not Effective: While the principle of establishing height parameters for Zone 1 is sound, the current policy draft does not make compliance with maximum height thresholds mandatory. Without explicit, prohibitive policy language stating that developments exceeding the 13m tall building threshold in Zone 1 will not be permitted, the policy fails as an effective development control mechanism, leaving rural landscapes vulnerable to high-bay commercial structures.</w:t>
            </w:r>
            <w:r>
              <w:rPr>
                <w:sz w:val="21"/>
              </w:rPr>
              <w:br/>
              <w:t>•  Inconsistent with National Policy: The policy framework lacks the definitive control needed to protect sensitive rural settings, landscape character, and village gateway approaches as required by the NPPF.</w:t>
            </w:r>
          </w:p>
        </w:tc>
      </w:tr>
    </w:tbl>
    <w:p w14:paraId="42917412" w14:textId="77777777" w:rsidR="008370D7" w:rsidRDefault="008370D7"/>
    <w:p w14:paraId="611E9FAB" w14:textId="77777777" w:rsidR="008370D7" w:rsidRDefault="00000000">
      <w:pPr>
        <w:keepNext/>
        <w:spacing w:before="320"/>
      </w:pPr>
      <w:r>
        <w:rPr>
          <w:b/>
          <w:color w:val="1B365D"/>
          <w:sz w:val="28"/>
        </w:rPr>
        <w:t>2. Summary of Representation</w:t>
      </w:r>
    </w:p>
    <w:p w14:paraId="6EE047BF" w14:textId="77777777" w:rsidR="008370D7" w:rsidRDefault="00000000">
      <w:r>
        <w:t>Boxworth Parish supports the underlying principles set out in Policy GP/ST and Appendix H regarding tall buildings and skyline protection.</w:t>
      </w:r>
    </w:p>
    <w:p w14:paraId="2D2D686B" w14:textId="77777777" w:rsidR="008370D7" w:rsidRDefault="00000000">
      <w:r>
        <w:t>The identification of baseline context heights and tall building threshold zones—specifically Zone 1: The Suburban/Low Rural Height Zone—is vital for protecting rural landscape character. However, the Plan is currently Not Sound because Policy GP/ST and Appendix H fail to make compliance with maximum height parameters mandatory. The policy language must be strengthened so that developments in Zone 1 which exceed the defined height thresholds will not be permitted.</w:t>
      </w:r>
    </w:p>
    <w:p w14:paraId="420B986E" w14:textId="77777777" w:rsidR="008370D7" w:rsidRDefault="00000000">
      <w:pPr>
        <w:keepNext/>
        <w:spacing w:before="320"/>
      </w:pPr>
      <w:r>
        <w:rPr>
          <w:b/>
          <w:color w:val="1B365D"/>
          <w:sz w:val="28"/>
        </w:rPr>
        <w:t>3. Justification for Policy Strengthening</w:t>
      </w:r>
    </w:p>
    <w:p w14:paraId="51E37958" w14:textId="77777777" w:rsidR="008370D7" w:rsidRDefault="00000000">
      <w:pPr>
        <w:keepNext/>
        <w:spacing w:before="320"/>
      </w:pPr>
      <w:r>
        <w:rPr>
          <w:b/>
          <w:color w:val="1B365D"/>
          <w:sz w:val="28"/>
        </w:rPr>
        <w:t>Imperative for Mandatory Maximum Baseline Height Controls (Paragraph H.21)</w:t>
      </w:r>
    </w:p>
    <w:p w14:paraId="1EB30674" w14:textId="77777777" w:rsidR="008370D7" w:rsidRDefault="00000000">
      <w:r>
        <w:t xml:space="preserve">Establishing a baseline context height of up to 9 metres (up to 3 residential storeys) and a tall building threshold of 13 metres across Zone 1 correctly reflects the low-rise character of rural settlements and the Fen-edge landscape. However, for these parameters to function effectively, </w:t>
      </w:r>
      <w:r>
        <w:lastRenderedPageBreak/>
        <w:t>they must operate as mandatory upper limits. The current discretionary wording creates ambiguity, enabling developers to propose high-bay logistics warehouses (such as 19m–21m structures) within Zone 1. Policy GP/ST must be amended to state unequivocally that proposals exceeding Zone 1 height limits will not be permitted.</w:t>
      </w:r>
    </w:p>
    <w:p w14:paraId="550B4FAE" w14:textId="77777777" w:rsidR="008370D7" w:rsidRDefault="00000000">
      <w:pPr>
        <w:keepNext/>
        <w:spacing w:before="320"/>
      </w:pPr>
      <w:r>
        <w:rPr>
          <w:b/>
          <w:color w:val="1B365D"/>
          <w:sz w:val="28"/>
        </w:rPr>
        <w:t>Protection of Rural Approaches and Transitory Views (Paragraphs H.37–H.38)</w:t>
      </w:r>
    </w:p>
    <w:p w14:paraId="2DFCA140" w14:textId="77777777" w:rsidR="008370D7" w:rsidRDefault="00000000">
      <w:r>
        <w:t>Views across South Cambridgeshire are dynamic and experienced along key travel corridors. Enforcing strict, non-negotiable height thresholds along primary approach routes (such as the A14 corridor and connecting local roads) is essential to prevent large-scale commercial structures from dominating rural approaches and obscuring open views of the countryside.</w:t>
      </w:r>
    </w:p>
    <w:p w14:paraId="4FC2E253" w14:textId="77777777" w:rsidR="008370D7" w:rsidRDefault="00000000">
      <w:pPr>
        <w:keepNext/>
        <w:spacing w:before="320"/>
      </w:pPr>
      <w:r>
        <w:rPr>
          <w:b/>
          <w:color w:val="1B365D"/>
          <w:sz w:val="28"/>
        </w:rPr>
        <w:t>Preservation of Skyline Character (Paragraph H.45, Criterion 3)</w:t>
      </w:r>
    </w:p>
    <w:p w14:paraId="02716E56" w14:textId="77777777" w:rsidR="008370D7" w:rsidRDefault="00000000">
      <w:r>
        <w:t>Appendix H recognizes that the rural horizon is characterized by low-rise elements and slender visual markers, such as church spires and mature tree canopies. Commercial distribution buildings reaching 19m to 21m in height breach this horizontal skyline. Policy GP/ST must enforce a strict prohibition against exceeding Zone 1 height thresholds to preserve skyline integrity.</w:t>
      </w:r>
    </w:p>
    <w:p w14:paraId="54A28719" w14:textId="77777777" w:rsidR="008370D7" w:rsidRDefault="00000000">
      <w:pPr>
        <w:keepNext/>
        <w:spacing w:before="320"/>
      </w:pPr>
      <w:r>
        <w:rPr>
          <w:b/>
          <w:color w:val="1B365D"/>
          <w:sz w:val="28"/>
        </w:rPr>
        <w:t>4. Required Modifications to Ensure Soundness</w:t>
      </w:r>
    </w:p>
    <w:p w14:paraId="7A25AA37" w14:textId="77777777" w:rsidR="008370D7" w:rsidRDefault="00000000">
      <w:r>
        <w:t>To make the Plan Sound and ensure Policy GP/ST and Appendix H operate as effective development management controls, the following modifications are required:</w:t>
      </w:r>
    </w:p>
    <w:p w14:paraId="11FFF28D" w14:textId="77777777" w:rsidR="008370D7" w:rsidRDefault="00000000">
      <w:pPr>
        <w:pStyle w:val="ListBullet"/>
        <w:spacing w:before="40" w:after="80"/>
      </w:pPr>
      <w:r>
        <w:rPr>
          <w:b/>
        </w:rPr>
        <w:t xml:space="preserve">Mandatory Prohibition on Exceeding Threshold Heights: </w:t>
      </w:r>
      <w:r>
        <w:t xml:space="preserve"> Policy GP/ST and Appendix H must be amended to state explicitly that the context height (9m) and tall building threshold (13m) in Zone 1 represent mandatory maximum parameters, and that development exceeding these height thresholds will not be permitted.</w:t>
      </w:r>
    </w:p>
    <w:p w14:paraId="2308B45C" w14:textId="77777777" w:rsidR="008370D7" w:rsidRDefault="00000000">
      <w:pPr>
        <w:pStyle w:val="ListBullet"/>
        <w:spacing w:before="40" w:after="80"/>
      </w:pPr>
      <w:r>
        <w:rPr>
          <w:b/>
        </w:rPr>
        <w:t xml:space="preserve">Standardized Measurement for Commercial Buildings: </w:t>
      </w:r>
      <w:r>
        <w:t xml:space="preserve"> Paragraph H.19 or H.21 should be amended to clarify that building heights for commercial and industrial structures (Use Classes B2 and B8) are measured to the highest structural point, including roof ridges, parapets, and plant enclosures.</w:t>
      </w:r>
    </w:p>
    <w:p w14:paraId="1FFBFC8C" w14:textId="77777777" w:rsidR="008370D7" w:rsidRDefault="00000000">
      <w:pPr>
        <w:pStyle w:val="ListBullet"/>
        <w:spacing w:before="40" w:after="80"/>
      </w:pPr>
      <w:r>
        <w:rPr>
          <w:b/>
        </w:rPr>
        <w:t xml:space="preserve">Ineffectiveness of Landscape Mitigation for Excess Height: </w:t>
      </w:r>
      <w:r>
        <w:t xml:space="preserve"> Appendix H (Criterion 1 or 3) must explicitly specify that proposed landscape planting will not be accepted as justification to exceed Zone 1 height limits. Native structural planting requires 15 to 25 years to mature in flat rural landscapes, and seasonal leaf loss significantly reduces winter screening effectiveness. Landscape buffers cannot mitigate the visual impact of structures that exceed context height thresholds.</w:t>
      </w:r>
    </w:p>
    <w:p w14:paraId="21145982" w14:textId="77777777" w:rsidR="008370D7" w:rsidRDefault="00000000">
      <w:pPr>
        <w:keepNext/>
        <w:spacing w:before="320"/>
      </w:pPr>
      <w:r>
        <w:rPr>
          <w:b/>
          <w:color w:val="1B365D"/>
          <w:sz w:val="28"/>
        </w:rPr>
        <w:t>5. Conclusion</w:t>
      </w:r>
    </w:p>
    <w:p w14:paraId="24BA911E" w14:textId="77777777" w:rsidR="008370D7" w:rsidRDefault="00000000">
      <w:r>
        <w:t>The principle of defining baseline height parameters in Appendix H is sound and supported. However, to make the Plan Sound, Policy GP/ST and Appendix H must be strengthened to confirm that Zone 1 height thresholds are mandatory maximum limits, establishing that developments exceeding these thresholds will not be permitted. Incorporating these amendments will ensure the Greater Cambridge Local Plan is effective, sound, and capable of protecting rural landscape character.</w:t>
      </w:r>
    </w:p>
    <w:sectPr w:rsidR="008370D7"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462556">
    <w:abstractNumId w:val="8"/>
  </w:num>
  <w:num w:numId="2" w16cid:durableId="405765530">
    <w:abstractNumId w:val="6"/>
  </w:num>
  <w:num w:numId="3" w16cid:durableId="667515061">
    <w:abstractNumId w:val="5"/>
  </w:num>
  <w:num w:numId="4" w16cid:durableId="340935239">
    <w:abstractNumId w:val="4"/>
  </w:num>
  <w:num w:numId="5" w16cid:durableId="1381325961">
    <w:abstractNumId w:val="7"/>
  </w:num>
  <w:num w:numId="6" w16cid:durableId="1609310595">
    <w:abstractNumId w:val="3"/>
  </w:num>
  <w:num w:numId="7" w16cid:durableId="1597253217">
    <w:abstractNumId w:val="2"/>
  </w:num>
  <w:num w:numId="8" w16cid:durableId="2030984355">
    <w:abstractNumId w:val="1"/>
  </w:num>
  <w:num w:numId="9" w16cid:durableId="20062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3DF0"/>
    <w:rsid w:val="0029639D"/>
    <w:rsid w:val="00326F90"/>
    <w:rsid w:val="008370D7"/>
    <w:rsid w:val="00AA1D8D"/>
    <w:rsid w:val="00B47730"/>
    <w:rsid w:val="00CB0664"/>
    <w:rsid w:val="00CB46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E826A"/>
  <w14:defaultImageDpi w14:val="300"/>
  <w15:docId w15:val="{B7C9286E-006D-F54F-A8B7-0C8F7238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Nick Turton</cp:lastModifiedBy>
  <cp:revision>2</cp:revision>
  <dcterms:created xsi:type="dcterms:W3CDTF">2026-09-13T09:25:00Z</dcterms:created>
  <dcterms:modified xsi:type="dcterms:W3CDTF">2026-09-13T09:25:00Z</dcterms:modified>
  <cp:category/>
</cp:coreProperties>
</file>