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5B6694" w14:textId="77777777" w:rsidR="001B40B5" w:rsidRDefault="00000000">
      <w:pPr>
        <w:spacing w:after="80"/>
      </w:pPr>
      <w:r>
        <w:rPr>
          <w:b/>
          <w:color w:val="1B365D"/>
          <w:sz w:val="44"/>
        </w:rPr>
        <w:t>BOXWORTH PARISH REPRESENTATION ON THE PROPOSED DRAFT LOCAL PLAN</w:t>
      </w:r>
    </w:p>
    <w:p w14:paraId="297AF2D7" w14:textId="77777777" w:rsidR="001B40B5" w:rsidRDefault="00000000">
      <w:pPr>
        <w:spacing w:after="320"/>
      </w:pPr>
      <w:r>
        <w:rPr>
          <w:i/>
          <w:color w:val="4A607A"/>
          <w:sz w:val="26"/>
        </w:rPr>
        <w:t>ALLOCATION POLICY S/RRA/SCS: Land to the South of Cambridge Services, A14</w:t>
      </w:r>
    </w:p>
    <w:tbl>
      <w:tblPr>
        <w:tblW w:w="0" w:type="auto"/>
        <w:jc w:val="center"/>
        <w:tblLook w:val="04A0" w:firstRow="1" w:lastRow="0" w:firstColumn="1" w:lastColumn="0" w:noHBand="0" w:noVBand="1"/>
      </w:tblPr>
      <w:tblGrid>
        <w:gridCol w:w="3168"/>
        <w:gridCol w:w="5861"/>
      </w:tblGrid>
      <w:tr w:rsidR="001B40B5" w14:paraId="66E5619E" w14:textId="77777777">
        <w:trPr>
          <w:jc w:val="center"/>
        </w:trPr>
        <w:tc>
          <w:tcPr>
            <w:tcW w:w="3168" w:type="dxa"/>
            <w:tcBorders>
              <w:top w:val="single" w:sz="4" w:space="0" w:color="CBD5E1"/>
              <w:left w:val="single" w:sz="4" w:space="0" w:color="CBD5E1"/>
              <w:bottom w:val="single" w:sz="4" w:space="0" w:color="CBD5E1"/>
              <w:right w:val="single" w:sz="4" w:space="0" w:color="CBD5E1"/>
            </w:tcBorders>
            <w:shd w:val="clear" w:color="auto" w:fill="F0F4F8"/>
            <w:tcMar>
              <w:top w:w="80" w:type="dxa"/>
              <w:left w:w="120" w:type="dxa"/>
              <w:bottom w:w="80" w:type="dxa"/>
              <w:right w:w="120" w:type="dxa"/>
            </w:tcMar>
          </w:tcPr>
          <w:p w14:paraId="6CC2E8FC" w14:textId="77777777" w:rsidR="001B40B5" w:rsidRDefault="00000000">
            <w:pPr>
              <w:spacing w:after="0"/>
            </w:pPr>
            <w:r>
              <w:rPr>
                <w:b/>
                <w:color w:val="1B365D"/>
                <w:sz w:val="19"/>
              </w:rPr>
              <w:t>Policy / Site Referenced:</w:t>
            </w:r>
          </w:p>
        </w:tc>
        <w:tc>
          <w:tcPr>
            <w:tcW w:w="5861" w:type="dxa"/>
            <w:tcBorders>
              <w:top w:val="single" w:sz="4" w:space="0" w:color="CBD5E1"/>
              <w:left w:val="single" w:sz="4" w:space="0" w:color="CBD5E1"/>
              <w:bottom w:val="single" w:sz="4" w:space="0" w:color="CBD5E1"/>
              <w:right w:val="single" w:sz="4" w:space="0" w:color="CBD5E1"/>
            </w:tcBorders>
            <w:tcMar>
              <w:top w:w="80" w:type="dxa"/>
              <w:left w:w="120" w:type="dxa"/>
              <w:bottom w:w="80" w:type="dxa"/>
              <w:right w:w="120" w:type="dxa"/>
            </w:tcMar>
          </w:tcPr>
          <w:p w14:paraId="0C71054F" w14:textId="77777777" w:rsidR="001B40B5" w:rsidRDefault="00000000">
            <w:pPr>
              <w:spacing w:after="0"/>
            </w:pPr>
            <w:r>
              <w:rPr>
                <w:sz w:val="19"/>
              </w:rPr>
              <w:t>Policy S/RRA/SCS: Land to the South of Cambridge Services, A14</w:t>
            </w:r>
          </w:p>
        </w:tc>
      </w:tr>
      <w:tr w:rsidR="001B40B5" w14:paraId="659D1CEA" w14:textId="77777777">
        <w:trPr>
          <w:jc w:val="center"/>
        </w:trPr>
        <w:tc>
          <w:tcPr>
            <w:tcW w:w="3168" w:type="dxa"/>
            <w:tcBorders>
              <w:top w:val="single" w:sz="4" w:space="0" w:color="CBD5E1"/>
              <w:left w:val="single" w:sz="4" w:space="0" w:color="CBD5E1"/>
              <w:bottom w:val="single" w:sz="4" w:space="0" w:color="CBD5E1"/>
              <w:right w:val="single" w:sz="4" w:space="0" w:color="CBD5E1"/>
            </w:tcBorders>
            <w:shd w:val="clear" w:color="auto" w:fill="F0F4F8"/>
            <w:tcMar>
              <w:top w:w="80" w:type="dxa"/>
              <w:left w:w="120" w:type="dxa"/>
              <w:bottom w:w="80" w:type="dxa"/>
              <w:right w:w="120" w:type="dxa"/>
            </w:tcMar>
          </w:tcPr>
          <w:p w14:paraId="08DED3E7" w14:textId="77777777" w:rsidR="001B40B5" w:rsidRDefault="00000000">
            <w:pPr>
              <w:spacing w:after="0"/>
            </w:pPr>
            <w:r>
              <w:rPr>
                <w:b/>
                <w:color w:val="1B365D"/>
                <w:sz w:val="19"/>
              </w:rPr>
              <w:t>Consultation Stage:</w:t>
            </w:r>
          </w:p>
        </w:tc>
        <w:tc>
          <w:tcPr>
            <w:tcW w:w="5861" w:type="dxa"/>
            <w:tcBorders>
              <w:top w:val="single" w:sz="4" w:space="0" w:color="CBD5E1"/>
              <w:left w:val="single" w:sz="4" w:space="0" w:color="CBD5E1"/>
              <w:bottom w:val="single" w:sz="4" w:space="0" w:color="CBD5E1"/>
              <w:right w:val="single" w:sz="4" w:space="0" w:color="CBD5E1"/>
            </w:tcBorders>
            <w:tcMar>
              <w:top w:w="80" w:type="dxa"/>
              <w:left w:w="120" w:type="dxa"/>
              <w:bottom w:w="80" w:type="dxa"/>
              <w:right w:w="120" w:type="dxa"/>
            </w:tcMar>
          </w:tcPr>
          <w:p w14:paraId="6773EECD" w14:textId="77777777" w:rsidR="001B40B5" w:rsidRDefault="00000000">
            <w:pPr>
              <w:spacing w:after="0"/>
            </w:pPr>
            <w:r>
              <w:rPr>
                <w:sz w:val="19"/>
              </w:rPr>
              <w:t>Proposed SUBMISSION (REG 19)</w:t>
            </w:r>
          </w:p>
        </w:tc>
      </w:tr>
      <w:tr w:rsidR="001B40B5" w14:paraId="25A70CED" w14:textId="77777777">
        <w:trPr>
          <w:jc w:val="center"/>
        </w:trPr>
        <w:tc>
          <w:tcPr>
            <w:tcW w:w="3168" w:type="dxa"/>
            <w:tcBorders>
              <w:top w:val="single" w:sz="4" w:space="0" w:color="CBD5E1"/>
              <w:left w:val="single" w:sz="4" w:space="0" w:color="CBD5E1"/>
              <w:bottom w:val="single" w:sz="4" w:space="0" w:color="CBD5E1"/>
              <w:right w:val="single" w:sz="4" w:space="0" w:color="CBD5E1"/>
            </w:tcBorders>
            <w:shd w:val="clear" w:color="auto" w:fill="F0F4F8"/>
            <w:tcMar>
              <w:top w:w="80" w:type="dxa"/>
              <w:left w:w="120" w:type="dxa"/>
              <w:bottom w:w="80" w:type="dxa"/>
              <w:right w:w="120" w:type="dxa"/>
            </w:tcMar>
          </w:tcPr>
          <w:p w14:paraId="576B332B" w14:textId="77777777" w:rsidR="001B40B5" w:rsidRDefault="00000000">
            <w:pPr>
              <w:spacing w:after="0"/>
            </w:pPr>
            <w:r>
              <w:rPr>
                <w:b/>
                <w:color w:val="1B365D"/>
                <w:sz w:val="19"/>
              </w:rPr>
              <w:t>Statutory Test Addressed:</w:t>
            </w:r>
          </w:p>
        </w:tc>
        <w:tc>
          <w:tcPr>
            <w:tcW w:w="5861" w:type="dxa"/>
            <w:tcBorders>
              <w:top w:val="single" w:sz="4" w:space="0" w:color="CBD5E1"/>
              <w:left w:val="single" w:sz="4" w:space="0" w:color="CBD5E1"/>
              <w:bottom w:val="single" w:sz="4" w:space="0" w:color="CBD5E1"/>
              <w:right w:val="single" w:sz="4" w:space="0" w:color="CBD5E1"/>
            </w:tcBorders>
            <w:tcMar>
              <w:top w:w="80" w:type="dxa"/>
              <w:left w:w="120" w:type="dxa"/>
              <w:bottom w:w="80" w:type="dxa"/>
              <w:right w:w="120" w:type="dxa"/>
            </w:tcMar>
          </w:tcPr>
          <w:p w14:paraId="4696E39E" w14:textId="77777777" w:rsidR="001B40B5" w:rsidRDefault="00000000">
            <w:pPr>
              <w:spacing w:after="0"/>
            </w:pPr>
            <w:r>
              <w:rPr>
                <w:sz w:val="19"/>
              </w:rPr>
              <w:t>Soundness (Not Justified, Not Effective, and Inconsistent with National Policy)</w:t>
            </w:r>
          </w:p>
        </w:tc>
      </w:tr>
    </w:tbl>
    <w:p w14:paraId="14A7A27D" w14:textId="77777777" w:rsidR="001B40B5" w:rsidRDefault="001B40B5">
      <w:pPr>
        <w:spacing w:after="240"/>
      </w:pPr>
    </w:p>
    <w:tbl>
      <w:tblPr>
        <w:tblW w:w="0" w:type="auto"/>
        <w:jc w:val="center"/>
        <w:tblLook w:val="04A0" w:firstRow="1" w:lastRow="0" w:firstColumn="1" w:lastColumn="0" w:noHBand="0" w:noVBand="1"/>
      </w:tblPr>
      <w:tblGrid>
        <w:gridCol w:w="9029"/>
      </w:tblGrid>
      <w:tr w:rsidR="001B40B5" w14:paraId="77C44288" w14:textId="77777777">
        <w:trPr>
          <w:jc w:val="center"/>
        </w:trPr>
        <w:tc>
          <w:tcPr>
            <w:tcW w:w="9029" w:type="dxa"/>
            <w:tcBorders>
              <w:left w:val="single" w:sz="36" w:space="0" w:color="1B365D"/>
            </w:tcBorders>
            <w:shd w:val="clear" w:color="auto" w:fill="F0F4F8"/>
            <w:tcMar>
              <w:top w:w="140" w:type="dxa"/>
              <w:left w:w="200" w:type="dxa"/>
              <w:bottom w:w="140" w:type="dxa"/>
              <w:right w:w="200" w:type="dxa"/>
            </w:tcMar>
          </w:tcPr>
          <w:p w14:paraId="7E114656" w14:textId="77777777" w:rsidR="001B40B5" w:rsidRDefault="00000000">
            <w:pPr>
              <w:spacing w:before="40" w:after="40"/>
            </w:pPr>
            <w:r>
              <w:rPr>
                <w:b/>
                <w:color w:val="1B365D"/>
              </w:rPr>
              <w:t>1. Soundness Conclusion</w:t>
            </w:r>
            <w:r>
              <w:rPr>
                <w:b/>
                <w:color w:val="1B365D"/>
              </w:rPr>
              <w:br/>
            </w:r>
            <w:r>
              <w:rPr>
                <w:sz w:val="21"/>
              </w:rPr>
              <w:t>Is the Plan Sound? No.</w:t>
            </w:r>
            <w:r>
              <w:rPr>
                <w:sz w:val="21"/>
              </w:rPr>
              <w:br/>
            </w:r>
            <w:r>
              <w:rPr>
                <w:sz w:val="21"/>
              </w:rPr>
              <w:br/>
              <w:t>Tests of Soundness Failed:</w:t>
            </w:r>
            <w:r>
              <w:rPr>
                <w:sz w:val="21"/>
              </w:rPr>
              <w:br/>
            </w:r>
            <w:proofErr w:type="gramStart"/>
            <w:r>
              <w:rPr>
                <w:sz w:val="21"/>
              </w:rPr>
              <w:t>•  Not</w:t>
            </w:r>
            <w:proofErr w:type="gramEnd"/>
            <w:r>
              <w:rPr>
                <w:sz w:val="21"/>
              </w:rPr>
              <w:t xml:space="preserve"> Justified: The draft policy fails to align building height controls with the low-rise, Fen-edge landscape character and low settlement scale of South Cambridgeshire, omitting the mandatory Zone 1 baseline context height of 9m and tall building threshold of 13m defined in Policy GP/ST. Furthermore, the policy fails to justify the traffic scope by omitting Light Goods Vehicles (LGVs) and multi-shift employee commuter traffic from local road impact assessments.</w:t>
            </w:r>
            <w:r>
              <w:rPr>
                <w:sz w:val="21"/>
              </w:rPr>
              <w:br/>
            </w:r>
            <w:proofErr w:type="gramStart"/>
            <w:r>
              <w:rPr>
                <w:sz w:val="21"/>
              </w:rPr>
              <w:t>•  Not</w:t>
            </w:r>
            <w:proofErr w:type="gramEnd"/>
            <w:r>
              <w:rPr>
                <w:sz w:val="21"/>
              </w:rPr>
              <w:t xml:space="preserve"> Effective: The policy lacks enforceable numerical height parameters, allowing tall commercial structures (such as high-bay logistics units) to cause unmitigated visual intrusion across open rural landscapes. It is also ineffective as it treats transport impacts in isolation, failing to mandate cumulative traffic coordination across the A14 corridor or enforce direct access from the Strategic Road Network.</w:t>
            </w:r>
          </w:p>
        </w:tc>
      </w:tr>
    </w:tbl>
    <w:p w14:paraId="3F394DD2" w14:textId="77777777" w:rsidR="001B40B5" w:rsidRDefault="001B40B5"/>
    <w:p w14:paraId="146B5938" w14:textId="77777777" w:rsidR="001B40B5" w:rsidRDefault="00000000">
      <w:pPr>
        <w:keepNext/>
        <w:spacing w:before="320"/>
      </w:pPr>
      <w:r>
        <w:rPr>
          <w:b/>
          <w:color w:val="1B365D"/>
          <w:sz w:val="30"/>
        </w:rPr>
        <w:t>2. Executive Summary</w:t>
      </w:r>
    </w:p>
    <w:p w14:paraId="754A6A58" w14:textId="77777777" w:rsidR="001B40B5" w:rsidRDefault="00000000">
      <w:r>
        <w:t>This representation comments on draft Allocation Policy S/RRA/SCS (Land to the South of Cambridge Services, A14). While recognizing the strategic context of the site, the current wording of the draft policy is inappropriate regarding building heights, local network traffic generation, workforce distribution, cumulative traffic impacts, and site access infrastructure. To render the policy Sound (Justified and Effective), specific amendments are required to enforce compliance with skyline height thresholds, address non-HGV commercial and commuter traffic impacts on local roads, mandate strategic cumulative transport coordination with neighboring allocations and speculative proposals, and ensure direct access from the Strategic Road Network.</w:t>
      </w:r>
    </w:p>
    <w:p w14:paraId="42DEAA3B" w14:textId="77777777" w:rsidR="001B40B5" w:rsidRDefault="00000000">
      <w:pPr>
        <w:keepNext/>
        <w:spacing w:before="320"/>
      </w:pPr>
      <w:r>
        <w:rPr>
          <w:b/>
          <w:color w:val="1B365D"/>
          <w:sz w:val="30"/>
        </w:rPr>
        <w:lastRenderedPageBreak/>
        <w:t>3. Mandatory Compliance with Zone 1 Height Limits (Paragraph 3)</w:t>
      </w:r>
    </w:p>
    <w:p w14:paraId="73356170" w14:textId="77777777" w:rsidR="001B40B5" w:rsidRDefault="00000000">
      <w:r>
        <w:t>Draft Paragraph 3 of the Policy requires building heights to be 'sensitive to the local rural context' and rely on existing vegetation for screening in long-distance views. This wording is inadequate and ineffective.</w:t>
      </w:r>
    </w:p>
    <w:p w14:paraId="61E7F4E1" w14:textId="77777777" w:rsidR="001B40B5" w:rsidRDefault="00000000">
      <w:r>
        <w:t xml:space="preserve">The site lies squarely within Zone 1 (Suburban/Low Rural Height Zone) as defined by Policy GP/ST and Appendix H (Skyline and Tall Buildings Guidance). In Zone 1, the baseline context height is 9 </w:t>
      </w:r>
      <w:proofErr w:type="spellStart"/>
      <w:r>
        <w:t>metres</w:t>
      </w:r>
      <w:proofErr w:type="spellEnd"/>
      <w:r>
        <w:t xml:space="preserve"> (up to 3 residential </w:t>
      </w:r>
      <w:proofErr w:type="spellStart"/>
      <w:r>
        <w:t>storeys</w:t>
      </w:r>
      <w:proofErr w:type="spellEnd"/>
      <w:proofErr w:type="gramStart"/>
      <w:r>
        <w:t>)</w:t>
      </w:r>
      <w:proofErr w:type="gramEnd"/>
      <w:r>
        <w:t xml:space="preserve"> and the tall building threshold is set at 13 </w:t>
      </w:r>
      <w:proofErr w:type="spellStart"/>
      <w:r>
        <w:t>metres</w:t>
      </w:r>
      <w:proofErr w:type="spellEnd"/>
      <w:r>
        <w:t>. The policy must explicitly mandate that development on this site complies strictly with these Zone 1 height limits.</w:t>
      </w:r>
    </w:p>
    <w:p w14:paraId="1AAA4ADC" w14:textId="77777777" w:rsidR="001B40B5" w:rsidRDefault="00000000">
      <w:r>
        <w:t xml:space="preserve">Relying on landscape buffers (such as the proposed 25-metre boundary strip) or existing vegetation cannot justify exceeding the 13-metre threshold. Standard native landscape buffers require 15 to 25 years to establish canopy heights capable of screening even a 13-metre structure, leaving high-bay distribution units visually intrusive across flat rural landscapes for decades. Furthermore, seasonal leaf loss reduces winter screening effectiveness. Therefore, Policy S/RRA/SCS must explicitly establish that 13 </w:t>
      </w:r>
      <w:proofErr w:type="spellStart"/>
      <w:r>
        <w:t>metres</w:t>
      </w:r>
      <w:proofErr w:type="spellEnd"/>
      <w:r>
        <w:t xml:space="preserve"> represents the firm maximum height limit across this site, with a strong presumption against any high-bay distribution structures exceeding this parameter.</w:t>
      </w:r>
    </w:p>
    <w:p w14:paraId="12069BB6" w14:textId="77777777" w:rsidR="001B40B5" w:rsidRDefault="00000000">
      <w:pPr>
        <w:keepNext/>
        <w:spacing w:before="320"/>
      </w:pPr>
      <w:r>
        <w:rPr>
          <w:b/>
          <w:color w:val="1B365D"/>
          <w:sz w:val="30"/>
        </w:rPr>
        <w:t>4. Traffic Management Limitations: Omission of Light Goods Vehicles (Paragraph 9iv)</w:t>
      </w:r>
    </w:p>
    <w:p w14:paraId="22905B07" w14:textId="77777777" w:rsidR="001B40B5" w:rsidRDefault="00000000">
      <w:r>
        <w:t xml:space="preserve">Draft Paragraph 9iv requires a Traffic Management Plan and routing restrictions focused exclusively on Heavy Goods Vehicles (HGVs) moving towards </w:t>
      </w:r>
      <w:proofErr w:type="spellStart"/>
      <w:r>
        <w:t>Boxworth</w:t>
      </w:r>
      <w:proofErr w:type="spellEnd"/>
      <w:r>
        <w:t>. This represents a significant omission in traffic management policy.</w:t>
      </w:r>
    </w:p>
    <w:p w14:paraId="1700E114" w14:textId="77777777" w:rsidR="001B40B5" w:rsidRDefault="00000000">
      <w:r>
        <w:t xml:space="preserve">As allocated for 90,000 sq m of Class B2/B8 space intended for 'local needs' and final-mile logistics, the site will generate substantial volumes of Light Goods Vehicles (LGVs/light vans) and medium commercial vehicles. Standard HGV traffic management restrictions and weight limits do not apply to LGVs. Consequently, final-mile delivery vans seeking shortcuts to surrounding rural routes will freely pass through </w:t>
      </w:r>
      <w:proofErr w:type="spellStart"/>
      <w:r>
        <w:t>Boxworth</w:t>
      </w:r>
      <w:proofErr w:type="spellEnd"/>
      <w:r>
        <w:t xml:space="preserve">, </w:t>
      </w:r>
      <w:proofErr w:type="spellStart"/>
      <w:r>
        <w:t>Elsworth</w:t>
      </w:r>
      <w:proofErr w:type="spellEnd"/>
      <w:r>
        <w:t xml:space="preserve">, and </w:t>
      </w:r>
      <w:proofErr w:type="spellStart"/>
      <w:r>
        <w:t>Knapwell</w:t>
      </w:r>
      <w:proofErr w:type="spellEnd"/>
      <w:r>
        <w:t>, causing significant environmental disturbance and traffic safety hazards on minor roads.</w:t>
      </w:r>
    </w:p>
    <w:p w14:paraId="17C78553" w14:textId="77777777" w:rsidR="001B40B5" w:rsidRDefault="00000000">
      <w:r>
        <w:t>Paragraph 9iv must be amended to require comprehensive routing and enforcement mechanisms covering all commercial delivery vehicles (both HGVs and LGVs) to prevent commercial traffic from diverting onto surrounding minor rural roads.</w:t>
      </w:r>
    </w:p>
    <w:p w14:paraId="5C527873" w14:textId="77777777" w:rsidR="001B40B5" w:rsidRDefault="00000000">
      <w:pPr>
        <w:keepNext/>
        <w:spacing w:before="320"/>
      </w:pPr>
      <w:r>
        <w:rPr>
          <w:b/>
          <w:color w:val="1B365D"/>
          <w:sz w:val="30"/>
        </w:rPr>
        <w:t>5. Unaddressed Commuter Traffic Movements on Local Road Networks</w:t>
      </w:r>
    </w:p>
    <w:p w14:paraId="62E3AF90" w14:textId="77777777" w:rsidR="001B40B5" w:rsidRDefault="00000000">
      <w:r>
        <w:t xml:space="preserve">The draft policy allocates 90,000 sq m of employment space and 150 lorry parking spaces, operating on a 24-hour shift basis. Employees will inevitably be drawn from nearby rural settlements and growth areas, including </w:t>
      </w:r>
      <w:proofErr w:type="spellStart"/>
      <w:r>
        <w:t>Boxworth</w:t>
      </w:r>
      <w:proofErr w:type="spellEnd"/>
      <w:r>
        <w:t xml:space="preserve">, </w:t>
      </w:r>
      <w:proofErr w:type="spellStart"/>
      <w:r>
        <w:t>Elsworth</w:t>
      </w:r>
      <w:proofErr w:type="spellEnd"/>
      <w:r>
        <w:t xml:space="preserve">, </w:t>
      </w:r>
      <w:proofErr w:type="spellStart"/>
      <w:r>
        <w:t>Knapwell</w:t>
      </w:r>
      <w:proofErr w:type="spellEnd"/>
      <w:r>
        <w:t>, Cambourne, and Cambourne North.</w:t>
      </w:r>
    </w:p>
    <w:p w14:paraId="53D314B5" w14:textId="77777777" w:rsidR="001B40B5" w:rsidRDefault="00000000">
      <w:r>
        <w:t xml:space="preserve">While referring to an agreed trip budget and advocating active travel, the draft policy is entirely silent on how commuter vehicle movements generated across multi-shift patterns will be safely accommodated on the local minor road network. Minor rural roads connecting the site to surrounding villages lack the capacity, width, and alignment to handle significant daily employee </w:t>
      </w:r>
      <w:r>
        <w:lastRenderedPageBreak/>
        <w:t>traffic surges. Policy S/RRA/SCS must be updated to require a comprehensive local highway network impact assessment that specifically evaluates commuter trip generation and funds necessary off-site mitigation on local rural routes.</w:t>
      </w:r>
    </w:p>
    <w:p w14:paraId="63CE4515" w14:textId="77777777" w:rsidR="001B40B5" w:rsidRDefault="00000000">
      <w:pPr>
        <w:keepNext/>
        <w:spacing w:before="320"/>
      </w:pPr>
      <w:r>
        <w:rPr>
          <w:b/>
          <w:color w:val="1B365D"/>
          <w:sz w:val="30"/>
        </w:rPr>
        <w:t>6. Requirement for Cumulative Traffic Coordination with Nearby Allocations and Unconsented Sites</w:t>
      </w:r>
    </w:p>
    <w:p w14:paraId="7B3D34F4" w14:textId="77777777" w:rsidR="001B40B5" w:rsidRDefault="00000000">
      <w:r>
        <w:t>Policy S/RRA/SCS currently treats the traffic impacts of this allocation in isolation, which is a significant flaw in terms of plan soundness and transport effectiveness. To be Justified and Effective, traffic management under this policy must be explicitly coordinated with nearby employment allocations and unconsented speculative developments along the A14 corridor.</w:t>
      </w:r>
    </w:p>
    <w:p w14:paraId="76257E48" w14:textId="77777777" w:rsidR="001B40B5" w:rsidRDefault="00000000">
      <w:r>
        <w:t>Specifically, the Traffic Management Plan and Transport Assessment must be formally integrated with Policy S/RRA/SHF: Land north of A3107, Bar Hill (Slate Hall Farm), alongside any anticipated or unconsented commercial proposals in the immediate vicinity. Concentrating major logistics, general industrial, and distribution uses across multiple adjacent sites along the A14 will generate severe compounding impacts on highway junctions (such as Junction 24 and Junction 25), local access roads, and rat-running through minor rural settlements.</w:t>
      </w:r>
    </w:p>
    <w:p w14:paraId="176A83EC" w14:textId="77777777" w:rsidR="001B40B5" w:rsidRDefault="00000000">
      <w:r>
        <w:t>The policy must mandate a joint, corridor-wide Traffic Management Plan and cumulative trip budget framework. This must assess the combined traffic generation—including HGVs, LGVs, and multi-shift commuter vehicles—from both Policy S/RRA/SCS and Policy S/RRA/SHF, alongside any emerging unconsented proposals, to establish coordinated junction capacity mitigations, synchronized trip budgets, and unified routing enforcement mechanisms across the A14 corridor.</w:t>
      </w:r>
    </w:p>
    <w:p w14:paraId="6C53C0A2" w14:textId="77777777" w:rsidR="001B40B5" w:rsidRDefault="00000000">
      <w:pPr>
        <w:keepNext/>
        <w:spacing w:before="320"/>
      </w:pPr>
      <w:r>
        <w:rPr>
          <w:b/>
          <w:color w:val="1B365D"/>
          <w:sz w:val="30"/>
        </w:rPr>
        <w:t>7. Direct Site Access Requirements (Paragraph 9iii)</w:t>
      </w:r>
    </w:p>
    <w:p w14:paraId="64120720" w14:textId="65D070AC" w:rsidR="001B40B5" w:rsidRDefault="00000000">
      <w:r>
        <w:t xml:space="preserve">Draft Paragraph 9iii requires 'safe and adequate site access arrangements from the local and Strategic Road Network'. As currently drafted, this leaves open the possibility of accessing the 24.58-hectare site via </w:t>
      </w:r>
      <w:r w:rsidR="00514C6D">
        <w:t xml:space="preserve">a </w:t>
      </w:r>
      <w:r>
        <w:t xml:space="preserve">C-class local road, such as </w:t>
      </w:r>
      <w:proofErr w:type="spellStart"/>
      <w:r w:rsidR="00514C6D">
        <w:t>Boxworth</w:t>
      </w:r>
      <w:proofErr w:type="spellEnd"/>
      <w:r w:rsidR="00514C6D">
        <w:t xml:space="preserve"> Road</w:t>
      </w:r>
      <w:r>
        <w:t>.</w:t>
      </w:r>
    </w:p>
    <w:p w14:paraId="22A855A1" w14:textId="77777777" w:rsidR="001B40B5" w:rsidRDefault="00000000">
      <w:r>
        <w:t>Allowing major distribution and lorry park access via a C-classification local road is unacceptable. Local rural roads are structurally and geometrically unsuitable for heavy commercial and high-density industrial traffic. To make the policy effective and prevent severe local highway safety impacts, Policy S/RRA/SCS must explicitly require that primary vehicle access to the site be arranged directly from the national Strategic Road Network (A14 / Junction 24A grade-separated infrastructure) rather than off any C-class local road network.</w:t>
      </w:r>
    </w:p>
    <w:p w14:paraId="2EE9D6C2" w14:textId="77777777" w:rsidR="001B40B5" w:rsidRDefault="00000000">
      <w:pPr>
        <w:keepNext/>
        <w:spacing w:before="320"/>
      </w:pPr>
      <w:r>
        <w:rPr>
          <w:b/>
          <w:color w:val="1B365D"/>
          <w:sz w:val="30"/>
        </w:rPr>
        <w:t>8. Recommended Policy Amendments</w:t>
      </w:r>
    </w:p>
    <w:p w14:paraId="5BE09F13" w14:textId="77777777" w:rsidR="001B40B5" w:rsidRDefault="00000000">
      <w:r>
        <w:t>To ensure Policy S/RRA/SCS meets the tests of Soundness, the following specific amendments should be incorporated into the draft policy text:</w:t>
      </w:r>
    </w:p>
    <w:p w14:paraId="53438A7F" w14:textId="77777777" w:rsidR="001B40B5" w:rsidRDefault="00000000">
      <w:pPr>
        <w:pStyle w:val="ListBullet"/>
        <w:spacing w:before="40" w:after="80"/>
      </w:pPr>
      <w:r>
        <w:rPr>
          <w:b/>
        </w:rPr>
        <w:t xml:space="preserve">Height Controls (Paragraph 3): </w:t>
      </w:r>
      <w:r>
        <w:t xml:space="preserve"> Amend Paragraph 3 to explicitly state that building heights must strictly comply with Zone 1 parameters under Appendix H, capped at a maximum of 13 </w:t>
      </w:r>
      <w:proofErr w:type="spellStart"/>
      <w:r>
        <w:t>metres</w:t>
      </w:r>
      <w:proofErr w:type="spellEnd"/>
      <w:r>
        <w:t>, without reliance on long-term landscape buffer growth to justify non-compliance.</w:t>
      </w:r>
    </w:p>
    <w:p w14:paraId="612507DF" w14:textId="77777777" w:rsidR="001B40B5" w:rsidRDefault="00000000">
      <w:pPr>
        <w:pStyle w:val="ListBullet"/>
        <w:spacing w:before="40" w:after="80"/>
      </w:pPr>
      <w:r>
        <w:rPr>
          <w:b/>
        </w:rPr>
        <w:lastRenderedPageBreak/>
        <w:t xml:space="preserve">Commercial Traffic Restrictions (Paragraph 9iv): </w:t>
      </w:r>
      <w:r>
        <w:t xml:space="preserve"> Expand Paragraph 9iv to mandate routing controls, Traffic Management Plans, and enforcement mechanisms covering Light Goods Vehicles (LGVs) and local distribution vans, in addition to HGVs, to protect </w:t>
      </w:r>
      <w:proofErr w:type="spellStart"/>
      <w:r>
        <w:t>Boxworth</w:t>
      </w:r>
      <w:proofErr w:type="spellEnd"/>
      <w:r>
        <w:t xml:space="preserve"> and surrounding villages.</w:t>
      </w:r>
    </w:p>
    <w:p w14:paraId="64ABD8C4" w14:textId="77777777" w:rsidR="001B40B5" w:rsidRDefault="00000000">
      <w:pPr>
        <w:pStyle w:val="ListBullet"/>
        <w:spacing w:before="40" w:after="80"/>
      </w:pPr>
      <w:r>
        <w:rPr>
          <w:b/>
        </w:rPr>
        <w:t xml:space="preserve">Commuter Impact Assessment (Paragraph 9): </w:t>
      </w:r>
      <w:r>
        <w:t xml:space="preserve"> Insert a specific requirement for the Transport Assessment to model shift-pattern commuter traffic from surrounding settlements (e.g. </w:t>
      </w:r>
      <w:proofErr w:type="spellStart"/>
      <w:r>
        <w:t>Boxworth</w:t>
      </w:r>
      <w:proofErr w:type="spellEnd"/>
      <w:r>
        <w:t xml:space="preserve">, </w:t>
      </w:r>
      <w:proofErr w:type="spellStart"/>
      <w:r>
        <w:t>Elsworth</w:t>
      </w:r>
      <w:proofErr w:type="spellEnd"/>
      <w:r>
        <w:t xml:space="preserve">, </w:t>
      </w:r>
      <w:proofErr w:type="spellStart"/>
      <w:r>
        <w:t>Knapwell</w:t>
      </w:r>
      <w:proofErr w:type="spellEnd"/>
      <w:r>
        <w:t>, Cambourne, Cambourne North) and secure proportional off-site local road mitigations.</w:t>
      </w:r>
    </w:p>
    <w:p w14:paraId="2FA7C07B" w14:textId="77777777" w:rsidR="001B40B5" w:rsidRDefault="00000000">
      <w:pPr>
        <w:pStyle w:val="ListBullet"/>
        <w:spacing w:before="40" w:after="80"/>
      </w:pPr>
      <w:r>
        <w:rPr>
          <w:b/>
        </w:rPr>
        <w:t xml:space="preserve">Cumulative Traffic Coordination (Paragraph 9): </w:t>
      </w:r>
      <w:r>
        <w:t xml:space="preserve"> Insert a mandatory requirement for the Transport Assessment and Traffic Management Plan to be coordinated with Policy S/RRA/SHF (Slate Hall Farm, Bar Hill) and any anticipated unconsented commercial developments in the corridor, establishing joint trip budgets, cumulative junction capacity assessments, and unified traffic enforcement.</w:t>
      </w:r>
    </w:p>
    <w:p w14:paraId="518FEA07" w14:textId="27A55DF0" w:rsidR="001B40B5" w:rsidRDefault="00000000">
      <w:pPr>
        <w:pStyle w:val="ListBullet"/>
        <w:spacing w:before="40" w:after="80"/>
      </w:pPr>
      <w:r>
        <w:rPr>
          <w:b/>
        </w:rPr>
        <w:t xml:space="preserve">Access Infrastructure (Paragraph 9iii): </w:t>
      </w:r>
      <w:r>
        <w:t xml:space="preserve"> Amend Paragraph 9iii to explicitly require that primary vehicular site access be constructed directly off the Strategic Road Network (A14 / Junction 24A), with an absolute prohibition on primary commercial access via</w:t>
      </w:r>
      <w:r w:rsidR="00514C6D">
        <w:t xml:space="preserve"> a</w:t>
      </w:r>
      <w:r>
        <w:t xml:space="preserve"> C-class local road.</w:t>
      </w:r>
    </w:p>
    <w:sectPr w:rsidR="001B40B5"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5933522">
    <w:abstractNumId w:val="8"/>
  </w:num>
  <w:num w:numId="2" w16cid:durableId="1006323334">
    <w:abstractNumId w:val="6"/>
  </w:num>
  <w:num w:numId="3" w16cid:durableId="974993550">
    <w:abstractNumId w:val="5"/>
  </w:num>
  <w:num w:numId="4" w16cid:durableId="1170169944">
    <w:abstractNumId w:val="4"/>
  </w:num>
  <w:num w:numId="5" w16cid:durableId="1959335683">
    <w:abstractNumId w:val="7"/>
  </w:num>
  <w:num w:numId="6" w16cid:durableId="1889603722">
    <w:abstractNumId w:val="3"/>
  </w:num>
  <w:num w:numId="7" w16cid:durableId="77798064">
    <w:abstractNumId w:val="2"/>
  </w:num>
  <w:num w:numId="8" w16cid:durableId="93984812">
    <w:abstractNumId w:val="1"/>
  </w:num>
  <w:num w:numId="9" w16cid:durableId="626738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hideGrammaticalError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40B5"/>
    <w:rsid w:val="0029639D"/>
    <w:rsid w:val="00326F90"/>
    <w:rsid w:val="00405CC9"/>
    <w:rsid w:val="00514C6D"/>
    <w:rsid w:val="00767A10"/>
    <w:rsid w:val="00AA1D8D"/>
    <w:rsid w:val="00B47730"/>
    <w:rsid w:val="00CB0664"/>
    <w:rsid w:val="00CB46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C493B2"/>
  <w14:defaultImageDpi w14:val="300"/>
  <w15:docId w15:val="{3C1BC381-B9C1-3F41-82A7-83687DF7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Nick Turton</cp:lastModifiedBy>
  <cp:revision>2</cp:revision>
  <dcterms:created xsi:type="dcterms:W3CDTF">2026-09-13T09:33:00Z</dcterms:created>
  <dcterms:modified xsi:type="dcterms:W3CDTF">2026-09-13T09:33:00Z</dcterms:modified>
  <cp:category/>
</cp:coreProperties>
</file>