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36" w:rsidRDefault="00505436">
      <w:bookmarkStart w:id="0" w:name="_GoBack"/>
      <w:r w:rsidRPr="00505436">
        <w:t>I/ST: Sustainable transport and connectivity</w:t>
      </w:r>
    </w:p>
    <w:bookmarkEnd w:id="0"/>
    <w:p w:rsidR="007B258E" w:rsidRDefault="00505436">
      <w:r w:rsidRPr="00505436">
        <w:t xml:space="preserve">General Support – however a far more ambitious approach to GCP in partnership with Combined Authority providing innovative and sustainable transport to the wider community including Market Towns to enable sustainable commuting into Greater Cambridge is recommended. Large developments next to places of work in such a small area as Cambridge will have environmental and health and well- being costs to existing communities and may in itself prove an ill-advised strategy in the longer term for Greater Cambridge. The Ox-Cam Arc </w:t>
      </w:r>
      <w:proofErr w:type="gramStart"/>
      <w:r w:rsidRPr="00505436">
        <w:t>project ,</w:t>
      </w:r>
      <w:proofErr w:type="gramEnd"/>
      <w:r w:rsidRPr="00505436">
        <w:t xml:space="preserve"> new transport systems home working etc., within this plan period could provide less high risk  solutions to the benefit of the economy of our Market Towns and should be pursued more creatively and robustly , Cambridge growing economy to the benefit of the wider region.   The policy to reduce CO2 emissions by principally putting very high numbers of people at unprecedented levels next to work areas given the small scale of Greater Cambridge/Cambridge City lacks in the period to 2041 is not fulfilling or making use of the promise of large scale public funding for transport infrastructure to support the commitment made by joint </w:t>
      </w:r>
      <w:proofErr w:type="gramStart"/>
      <w:r w:rsidRPr="00505436">
        <w:t>councils  to</w:t>
      </w:r>
      <w:proofErr w:type="gramEnd"/>
      <w:r w:rsidRPr="00505436">
        <w:t xml:space="preserve"> these unprecedented high levels of growth.  What makes Cambridge attractive and in part what drives the economy is at risk (CPIER 2018)  </w:t>
      </w:r>
    </w:p>
    <w:sectPr w:rsidR="007B2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36"/>
    <w:rsid w:val="004C29BF"/>
    <w:rsid w:val="00505436"/>
    <w:rsid w:val="00882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conroy</dc:creator>
  <cp:lastModifiedBy>peter conroy</cp:lastModifiedBy>
  <cp:revision>1</cp:revision>
  <dcterms:created xsi:type="dcterms:W3CDTF">2021-12-11T12:36:00Z</dcterms:created>
  <dcterms:modified xsi:type="dcterms:W3CDTF">2021-12-11T12:37:00Z</dcterms:modified>
</cp:coreProperties>
</file>